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D7" w:rsidRDefault="00AB7A47" w:rsidP="00F12DD7">
      <w:pPr>
        <w:pStyle w:val="BodyText"/>
      </w:pPr>
      <w:bookmarkStart w:id="0" w:name="Undo_Change_font_11x31z02"/>
      <w:bookmarkEnd w:id="0"/>
      <w:r>
        <w:rPr>
          <w:noProof/>
          <w:lang w:eastAsia="en-GB"/>
        </w:rPr>
        <w:drawing>
          <wp:anchor distT="0" distB="0" distL="114300" distR="114300" simplePos="0" relativeHeight="251686912" behindDoc="1" locked="0" layoutInCell="1" allowOverlap="1" wp14:anchorId="2B8E27A8" wp14:editId="70267FE3">
            <wp:simplePos x="0" y="0"/>
            <wp:positionH relativeFrom="page">
              <wp:posOffset>0</wp:posOffset>
            </wp:positionH>
            <wp:positionV relativeFrom="page">
              <wp:posOffset>-2486025</wp:posOffset>
            </wp:positionV>
            <wp:extent cx="7560310" cy="6582162"/>
            <wp:effectExtent l="0" t="0" r="2540" b="9525"/>
            <wp:wrapNone/>
            <wp:docPr id="6" name="Cov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60310" cy="6582162"/>
                    </a:xfrm>
                    <a:prstGeom prst="rect">
                      <a:avLst/>
                    </a:prstGeom>
                  </pic:spPr>
                </pic:pic>
              </a:graphicData>
            </a:graphic>
            <wp14:sizeRelH relativeFrom="margin">
              <wp14:pctWidth>0</wp14:pctWidth>
            </wp14:sizeRelH>
            <wp14:sizeRelV relativeFrom="margin">
              <wp14:pctHeight>0</wp14:pctHeight>
            </wp14:sizeRelV>
          </wp:anchor>
        </w:drawing>
      </w:r>
      <w:r w:rsidR="005A1F44" w:rsidRPr="00A87365">
        <w:rPr>
          <w:noProof/>
          <w:lang w:eastAsia="en-GB"/>
        </w:rPr>
        <mc:AlternateContent>
          <mc:Choice Requires="wps">
            <w:drawing>
              <wp:anchor distT="0" distB="0" distL="114300" distR="114300" simplePos="0" relativeHeight="251688960" behindDoc="1" locked="0" layoutInCell="0" allowOverlap="1" wp14:anchorId="1C05EA6A" wp14:editId="29FEA5FF">
                <wp:simplePos x="0" y="0"/>
                <wp:positionH relativeFrom="page">
                  <wp:align>left</wp:align>
                </wp:positionH>
                <wp:positionV relativeFrom="page">
                  <wp:align>bottom</wp:align>
                </wp:positionV>
                <wp:extent cx="7560310" cy="9088310"/>
                <wp:effectExtent l="0" t="0" r="2540" b="0"/>
                <wp:wrapNone/>
                <wp:docPr id="8"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88310"/>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overLowerHalfBlue" o:spid="_x0000_s1026" style="position:absolute;margin-left:0;margin-top:0;width:595.3pt;height:715.6pt;z-index:-2516275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2hfBUAAAR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" o:allowincell="f" path="m8174978,6879381l5720,6883651c12642,4584614,-5303,2299037,1619,l8186652,1518580e" fillcolor="#00b5e2 [3204]" stroked="f" strokeweight="2pt">
                <v:path arrowok="t" o:connecttype="custom" o:connectlocs="7549529,9082672;5282,9088310;1495,0;7560310,2004943" o:connectangles="0,0,0,0"/>
                <w10:wrap anchorx="page" anchory="page"/>
              </v:shape>
            </w:pict>
          </mc:Fallback>
        </mc:AlternateContent>
      </w:r>
      <w:r w:rsidR="005A1F44">
        <w:rPr>
          <w:noProof/>
          <w:lang w:eastAsia="en-GB"/>
        </w:rPr>
        <w:drawing>
          <wp:anchor distT="0" distB="0" distL="114300" distR="114300" simplePos="0" relativeHeight="251691008" behindDoc="0" locked="0" layoutInCell="1" allowOverlap="1" wp14:anchorId="2933038A" wp14:editId="131254B1">
            <wp:simplePos x="0" y="0"/>
            <wp:positionH relativeFrom="rightMargin">
              <wp:posOffset>-1043940</wp:posOffset>
            </wp:positionH>
            <wp:positionV relativeFrom="page">
              <wp:posOffset>360045</wp:posOffset>
            </wp:positionV>
            <wp:extent cx="1620000" cy="238320"/>
            <wp:effectExtent l="0" t="0" r="0" b="9525"/>
            <wp:wrapNone/>
            <wp:docPr id="9" name="AECOMLogo" descr="aecom_imagineit_reverse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OMLogo" descr="aecom_imagineit_reverse_1mm_border_v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38320"/>
                    </a:xfrm>
                    <a:prstGeom prst="rect">
                      <a:avLst/>
                    </a:prstGeom>
                    <a:noFill/>
                  </pic:spPr>
                </pic:pic>
              </a:graphicData>
            </a:graphic>
            <wp14:sizeRelH relativeFrom="page">
              <wp14:pctWidth>0</wp14:pctWidth>
            </wp14:sizeRelH>
            <wp14:sizeRelV relativeFrom="page">
              <wp14:pctHeight>0</wp14:pctHeight>
            </wp14:sizeRelV>
          </wp:anchor>
        </w:drawing>
      </w:r>
      <w:r w:rsidR="00F12DD7">
        <w:rPr>
          <w:noProof/>
          <w:lang w:eastAsia="en-GB"/>
        </w:rPr>
        <mc:AlternateContent>
          <mc:Choice Requires="wps">
            <w:drawing>
              <wp:anchor distT="0" distB="0" distL="114300" distR="114300" simplePos="0" relativeHeight="251676672" behindDoc="0" locked="0" layoutInCell="0" allowOverlap="1" wp14:anchorId="5B17BBF2" wp14:editId="38921AE1">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bookmarkStart w:id="1" w:name="Cover2"/>
                          <w:bookmarkStart w:id="2" w:name="Start"/>
                          <w:bookmarkStart w:id="3" w:name="DRAFT"/>
                          <w:p w:rsidR="009144D7" w:rsidRPr="00F74319" w:rsidRDefault="009144D7" w:rsidP="00F83749">
                            <w:pPr>
                              <w:pStyle w:val="Subtitleheading"/>
                              <w:rPr>
                                <w:b/>
                                <w:sz w:val="36"/>
                                <w:szCs w:val="36"/>
                              </w:rPr>
                            </w:pPr>
                            <w:r w:rsidRPr="005A1F44">
                              <w:rPr>
                                <w:b/>
                                <w:color w:val="FFFFFF"/>
                                <w:sz w:val="36"/>
                                <w:szCs w:val="36"/>
                              </w:rPr>
                              <w:fldChar w:fldCharType="begin"/>
                            </w:r>
                            <w:r w:rsidRPr="005A1F44">
                              <w:rPr>
                                <w:b/>
                                <w:color w:val="FFFFFF"/>
                                <w:sz w:val="36"/>
                                <w:szCs w:val="36"/>
                              </w:rPr>
                              <w:instrText xml:space="preserve"> DOCPROPERTY  Draft \* MERGEFORMAT </w:instrText>
                            </w:r>
                            <w:r w:rsidRPr="005A1F44">
                              <w:rPr>
                                <w:b/>
                                <w:color w:val="FFFFFF"/>
                                <w:sz w:val="36"/>
                                <w:szCs w:val="36"/>
                              </w:rPr>
                              <w:fldChar w:fldCharType="separate"/>
                            </w:r>
                            <w:r>
                              <w:rPr>
                                <w:b/>
                                <w:color w:val="FFFFFF"/>
                                <w:sz w:val="36"/>
                                <w:szCs w:val="36"/>
                              </w:rPr>
                              <w:t>DRAFT</w:t>
                            </w:r>
                            <w:r w:rsidRPr="005A1F44">
                              <w:rPr>
                                <w:b/>
                                <w:color w:val="FFFFFF"/>
                                <w:sz w:val="36"/>
                                <w:szCs w:val="36"/>
                              </w:rPr>
                              <w:fldChar w:fldCharType="end"/>
                            </w:r>
                            <w:r w:rsidRPr="005A1F44">
                              <w:rPr>
                                <w:b/>
                                <w:color w:val="FFFFFF"/>
                                <w:sz w:val="36"/>
                                <w:szCs w:val="36"/>
                              </w:rPr>
                              <w:t xml:space="preserve"> </w:t>
                            </w:r>
                            <w:bookmarkEnd w:id="1"/>
                            <w:bookmarkEnd w:id="2"/>
                            <w:bookmarkEnd w:id="3"/>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bookmarkStart w:id="4" w:name="Cover2"/>
                    <w:bookmarkStart w:id="5" w:name="Start"/>
                    <w:bookmarkStart w:id="6" w:name="DRAFT"/>
                    <w:p w:rsidR="009144D7" w:rsidRPr="00F74319" w:rsidRDefault="009144D7" w:rsidP="00F83749">
                      <w:pPr>
                        <w:pStyle w:val="Subtitleheading"/>
                        <w:rPr>
                          <w:b/>
                          <w:sz w:val="36"/>
                          <w:szCs w:val="36"/>
                        </w:rPr>
                      </w:pPr>
                      <w:r w:rsidRPr="005A1F44">
                        <w:rPr>
                          <w:b/>
                          <w:color w:val="FFFFFF"/>
                          <w:sz w:val="36"/>
                          <w:szCs w:val="36"/>
                        </w:rPr>
                        <w:fldChar w:fldCharType="begin"/>
                      </w:r>
                      <w:r w:rsidRPr="005A1F44">
                        <w:rPr>
                          <w:b/>
                          <w:color w:val="FFFFFF"/>
                          <w:sz w:val="36"/>
                          <w:szCs w:val="36"/>
                        </w:rPr>
                        <w:instrText xml:space="preserve"> DOCPROPERTY  Draft \* MERGEFORMAT </w:instrText>
                      </w:r>
                      <w:r w:rsidRPr="005A1F44">
                        <w:rPr>
                          <w:b/>
                          <w:color w:val="FFFFFF"/>
                          <w:sz w:val="36"/>
                          <w:szCs w:val="36"/>
                        </w:rPr>
                        <w:fldChar w:fldCharType="separate"/>
                      </w:r>
                      <w:r>
                        <w:rPr>
                          <w:b/>
                          <w:color w:val="FFFFFF"/>
                          <w:sz w:val="36"/>
                          <w:szCs w:val="36"/>
                        </w:rPr>
                        <w:t>DRAFT</w:t>
                      </w:r>
                      <w:r w:rsidRPr="005A1F44">
                        <w:rPr>
                          <w:b/>
                          <w:color w:val="FFFFFF"/>
                          <w:sz w:val="36"/>
                          <w:szCs w:val="36"/>
                        </w:rPr>
                        <w:fldChar w:fldCharType="end"/>
                      </w:r>
                      <w:r w:rsidRPr="005A1F44">
                        <w:rPr>
                          <w:b/>
                          <w:color w:val="FFFFFF"/>
                          <w:sz w:val="36"/>
                          <w:szCs w:val="36"/>
                        </w:rPr>
                        <w:t xml:space="preserve"> </w:t>
                      </w:r>
                      <w:bookmarkEnd w:id="4"/>
                      <w:bookmarkEnd w:id="5"/>
                      <w:bookmarkEnd w:id="6"/>
                    </w:p>
                  </w:txbxContent>
                </v:textbox>
                <w10:wrap anchory="page"/>
              </v:shape>
            </w:pict>
          </mc:Fallback>
        </mc:AlternateContent>
      </w:r>
    </w:p>
    <w:p w:rsidR="00F12DD7" w:rsidRDefault="00606621" w:rsidP="00F12DD7">
      <w:pPr>
        <w:pStyle w:val="BodyText"/>
      </w:pPr>
      <w:r>
        <w:rPr>
          <w:noProof/>
          <w:lang w:eastAsia="en-GB"/>
        </w:rPr>
        <mc:AlternateContent>
          <mc:Choice Requires="wps">
            <w:drawing>
              <wp:anchor distT="0" distB="0" distL="114300" distR="114300" simplePos="0" relativeHeight="251665408" behindDoc="0" locked="0" layoutInCell="0" allowOverlap="1" wp14:anchorId="581DF15E" wp14:editId="0FC195DE">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9144D7" w:rsidRPr="005A1F44" w:rsidTr="00606621">
                              <w:trPr>
                                <w:trHeight w:val="1554"/>
                              </w:trPr>
                              <w:tc>
                                <w:tcPr>
                                  <w:tcW w:w="2635" w:type="dxa"/>
                                  <w:vAlign w:val="bottom"/>
                                </w:tcPr>
                                <w:bookmarkStart w:id="4" w:name="Cover3" w:colFirst="0" w:colLast="2"/>
                                <w:bookmarkStart w:id="5" w:name="CoverTable2"/>
                                <w:p w:rsidR="009144D7" w:rsidRPr="005A1F44" w:rsidRDefault="009144D7"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rsidR="009144D7" w:rsidRPr="005A1F44" w:rsidRDefault="009144D7"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rsidR="009144D7" w:rsidRPr="005A1F44" w:rsidRDefault="009144D7"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rsidR="009144D7" w:rsidRPr="005A1F44" w:rsidRDefault="009144D7" w:rsidP="008A19FD">
                                  <w:pPr>
                                    <w:pStyle w:val="Coverfooter"/>
                                    <w:rPr>
                                      <w:color w:val="FFFFFF"/>
                                    </w:rPr>
                                  </w:pPr>
                                </w:p>
                                <w:p w:rsidR="009144D7" w:rsidRPr="005A1F44" w:rsidRDefault="009144D7" w:rsidP="008A19FD">
                                  <w:pPr>
                                    <w:pStyle w:val="Coverfooter"/>
                                    <w:rPr>
                                      <w:color w:val="FFFFFF"/>
                                    </w:rPr>
                                  </w:pPr>
                                </w:p>
                                <w:p w:rsidR="009144D7" w:rsidRPr="005A1F44" w:rsidRDefault="009144D7" w:rsidP="008A19FD">
                                  <w:pPr>
                                    <w:pStyle w:val="Coverfooter"/>
                                    <w:rPr>
                                      <w:color w:val="FFFFFF"/>
                                    </w:rPr>
                                  </w:pPr>
                                </w:p>
                              </w:tc>
                            </w:tr>
                            <w:bookmarkEnd w:id="4"/>
                            <w:bookmarkEnd w:id="5"/>
                          </w:tbl>
                          <w:p w:rsidR="009144D7" w:rsidRDefault="009144D7"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verFooterBox" o:spid="_x0000_s1027" type="#_x0000_t202" style="position:absolute;margin-left:0;margin-top:0;width:451.3pt;height:106.65pt;z-index:25166540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9144D7" w:rsidRPr="005A1F44" w:rsidTr="00606621">
                        <w:trPr>
                          <w:trHeight w:val="1554"/>
                        </w:trPr>
                        <w:tc>
                          <w:tcPr>
                            <w:tcW w:w="2635" w:type="dxa"/>
                            <w:vAlign w:val="bottom"/>
                          </w:tcPr>
                          <w:bookmarkStart w:id="6" w:name="Cover3" w:colFirst="0" w:colLast="2"/>
                          <w:bookmarkStart w:id="7" w:name="CoverTable2"/>
                          <w:p w:rsidR="009144D7" w:rsidRPr="005A1F44" w:rsidRDefault="009144D7" w:rsidP="008A19FD">
                            <w:pPr>
                              <w:pStyle w:val="Coverfooter"/>
                              <w:rPr>
                                <w:color w:val="FFFFFF"/>
                              </w:rPr>
                            </w:pPr>
                            <w:r w:rsidRPr="005A1F44">
                              <w:rPr>
                                <w:color w:val="FFFFFF"/>
                              </w:rPr>
                              <w:fldChar w:fldCharType="begin"/>
                            </w:r>
                            <w:r w:rsidRPr="005A1F44">
                              <w:rPr>
                                <w:color w:val="FFFFFF"/>
                              </w:rPr>
                              <w:instrText xml:space="preserve"> DOCPROPERTY  FooterClientAddress \* MERGEFORMAT </w:instrText>
                            </w:r>
                            <w:r w:rsidRPr="005A1F44">
                              <w:rPr>
                                <w:color w:val="FFFFFF"/>
                              </w:rPr>
                              <w:fldChar w:fldCharType="end"/>
                            </w:r>
                          </w:p>
                        </w:tc>
                        <w:tc>
                          <w:tcPr>
                            <w:tcW w:w="2894" w:type="dxa"/>
                            <w:vAlign w:val="bottom"/>
                          </w:tcPr>
                          <w:p w:rsidR="009144D7" w:rsidRPr="005A1F44" w:rsidRDefault="009144D7" w:rsidP="00BA5047">
                            <w:pPr>
                              <w:pStyle w:val="Coverfooter"/>
                              <w:jc w:val="center"/>
                              <w:rPr>
                                <w:b/>
                                <w:caps/>
                                <w:color w:val="FFFFFF"/>
                                <w:sz w:val="18"/>
                                <w:szCs w:val="18"/>
                              </w:rPr>
                            </w:pPr>
                            <w:r w:rsidRPr="005A1F44">
                              <w:rPr>
                                <w:b/>
                                <w:caps/>
                                <w:color w:val="FFFFFF"/>
                                <w:sz w:val="18"/>
                                <w:szCs w:val="18"/>
                              </w:rPr>
                              <w:fldChar w:fldCharType="begin"/>
                            </w:r>
                            <w:r w:rsidRPr="005A1F44">
                              <w:rPr>
                                <w:b/>
                                <w:caps/>
                                <w:color w:val="FFFFFF"/>
                                <w:sz w:val="18"/>
                                <w:szCs w:val="18"/>
                              </w:rPr>
                              <w:instrText xml:space="preserve"> DOCPROPERTY  ProtectiveMarking \* MERGEFORMAT </w:instrText>
                            </w:r>
                            <w:r w:rsidRPr="005A1F44">
                              <w:rPr>
                                <w:b/>
                                <w:caps/>
                                <w:color w:val="FFFFFF"/>
                                <w:sz w:val="18"/>
                                <w:szCs w:val="18"/>
                              </w:rPr>
                              <w:fldChar w:fldCharType="end"/>
                            </w:r>
                          </w:p>
                          <w:p w:rsidR="009144D7" w:rsidRPr="005A1F44" w:rsidRDefault="009144D7" w:rsidP="00BA5047">
                            <w:pPr>
                              <w:pStyle w:val="Coverfooter"/>
                              <w:jc w:val="center"/>
                              <w:rPr>
                                <w:color w:val="FFFFFF"/>
                              </w:rPr>
                            </w:pPr>
                            <w:r w:rsidRPr="005A1F44">
                              <w:rPr>
                                <w:color w:val="FFFFFF"/>
                              </w:rPr>
                              <w:fldChar w:fldCharType="begin"/>
                            </w:r>
                            <w:r w:rsidRPr="005A1F44">
                              <w:rPr>
                                <w:color w:val="FFFFFF"/>
                              </w:rPr>
                              <w:instrText xml:space="preserve"> DOCPROPERTY  Copies \* MERGEFORMAT </w:instrText>
                            </w:r>
                            <w:r w:rsidRPr="005A1F44">
                              <w:rPr>
                                <w:color w:val="FFFFFF"/>
                              </w:rPr>
                              <w:fldChar w:fldCharType="end"/>
                            </w:r>
                          </w:p>
                        </w:tc>
                        <w:tc>
                          <w:tcPr>
                            <w:tcW w:w="3545" w:type="dxa"/>
                            <w:vAlign w:val="bottom"/>
                          </w:tcPr>
                          <w:p w:rsidR="009144D7" w:rsidRPr="005A1F44" w:rsidRDefault="009144D7" w:rsidP="008A19FD">
                            <w:pPr>
                              <w:pStyle w:val="Coverfooter"/>
                              <w:rPr>
                                <w:color w:val="FFFFFF"/>
                              </w:rPr>
                            </w:pPr>
                          </w:p>
                          <w:p w:rsidR="009144D7" w:rsidRPr="005A1F44" w:rsidRDefault="009144D7" w:rsidP="008A19FD">
                            <w:pPr>
                              <w:pStyle w:val="Coverfooter"/>
                              <w:rPr>
                                <w:color w:val="FFFFFF"/>
                              </w:rPr>
                            </w:pPr>
                          </w:p>
                          <w:p w:rsidR="009144D7" w:rsidRPr="005A1F44" w:rsidRDefault="009144D7" w:rsidP="008A19FD">
                            <w:pPr>
                              <w:pStyle w:val="Coverfooter"/>
                              <w:rPr>
                                <w:color w:val="FFFFFF"/>
                              </w:rPr>
                            </w:pPr>
                          </w:p>
                        </w:tc>
                      </w:tr>
                      <w:bookmarkEnd w:id="6"/>
                      <w:bookmarkEnd w:id="7"/>
                    </w:tbl>
                    <w:p w:rsidR="009144D7" w:rsidRDefault="009144D7" w:rsidP="00DA79BC"/>
                  </w:txbxContent>
                </v:textbox>
                <w10:wrap anchory="page"/>
              </v:shape>
            </w:pict>
          </mc:Fallback>
        </mc:AlternateContent>
      </w:r>
      <w:r w:rsidR="000652F7">
        <w:rPr>
          <w:noProof/>
          <w:lang w:eastAsia="en-GB"/>
        </w:rPr>
        <mc:AlternateContent>
          <mc:Choice Requires="wps">
            <w:drawing>
              <wp:anchor distT="0" distB="0" distL="114300" distR="114300" simplePos="0" relativeHeight="251671552" behindDoc="0" locked="0" layoutInCell="0" allowOverlap="1" wp14:anchorId="109F1CA6" wp14:editId="431ACC38">
                <wp:simplePos x="0" y="0"/>
                <wp:positionH relativeFrom="margin">
                  <wp:posOffset>0</wp:posOffset>
                </wp:positionH>
                <wp:positionV relativeFrom="page">
                  <wp:posOffset>4009390</wp:posOffset>
                </wp:positionV>
                <wp:extent cx="5731510" cy="3081659"/>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9144D7" w:rsidRPr="005A1F44" w:rsidTr="00E7679A">
                              <w:trPr>
                                <w:trHeight w:val="3547"/>
                              </w:trPr>
                              <w:tc>
                                <w:tcPr>
                                  <w:tcW w:w="8132" w:type="dxa"/>
                                </w:tcPr>
                                <w:p w:rsidR="009144D7" w:rsidRPr="005A1F44" w:rsidRDefault="009144D7" w:rsidP="00E7679A">
                                  <w:pPr>
                                    <w:pStyle w:val="Title"/>
                                    <w:rPr>
                                      <w:color w:val="FFFFFF"/>
                                    </w:rPr>
                                  </w:pPr>
                                  <w:bookmarkStart w:id="8" w:name="Cover1" w:colFirst="0" w:colLast="1"/>
                                  <w:bookmarkStart w:id="9" w:name="CoverTable1"/>
                                  <w:r>
                                    <w:rPr>
                                      <w:color w:val="FFFFFF"/>
                                    </w:rPr>
                                    <w:t xml:space="preserve">West Wittering Housing Needs Assessment (HNA) </w:t>
                                  </w: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rsidR="009144D7" w:rsidRPr="005A1F44" w:rsidRDefault="009144D7" w:rsidP="00E7679A">
                                  <w:pPr>
                                    <w:rPr>
                                      <w:color w:val="FFFFFF"/>
                                    </w:rPr>
                                  </w:pP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rsidR="009144D7" w:rsidRPr="005A1F44" w:rsidRDefault="009144D7"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rsidR="009144D7" w:rsidRPr="005A1F44" w:rsidRDefault="009144D7" w:rsidP="00BA5047">
                                  <w:pPr>
                                    <w:rPr>
                                      <w:color w:val="FFFFFF"/>
                                    </w:rPr>
                                  </w:pP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rsidR="009144D7" w:rsidRPr="005A1F44" w:rsidRDefault="009144D7" w:rsidP="00BA5047">
                                  <w:pPr>
                                    <w:pStyle w:val="Coverfooter"/>
                                    <w:rPr>
                                      <w:color w:val="FFFFFF"/>
                                    </w:rPr>
                                  </w:pPr>
                                  <w:r>
                                    <w:rPr>
                                      <w:color w:val="FFFFFF"/>
                                    </w:rPr>
                                    <w:t>January 2018</w:t>
                                  </w:r>
                                </w:p>
                              </w:tc>
                            </w:tr>
                            <w:bookmarkEnd w:id="8"/>
                            <w:bookmarkEnd w:id="9"/>
                          </w:tbl>
                          <w:p w:rsidR="009144D7" w:rsidRDefault="009144D7" w:rsidP="00213392"/>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id="CoverTitleBox" o:spid="_x0000_s1028" type="#_x0000_t202" style="position:absolute;margin-left:0;margin-top:315.7pt;width:451.3pt;height:242.65pt;z-index:251671552;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" o:allowincell="f" filled="f" stroked="f">
                <v:textbox inset="0,0,0,1mm">
                  <w:txbxContent>
                    <w:tbl>
                      <w:tblPr>
                        <w:tblStyle w:val="Plaingrid"/>
                        <w:tblW w:w="3500" w:type="pct"/>
                        <w:tblLook w:val="04A0" w:firstRow="1" w:lastRow="0" w:firstColumn="1" w:lastColumn="0" w:noHBand="0" w:noVBand="1"/>
                      </w:tblPr>
                      <w:tblGrid>
                        <w:gridCol w:w="6395"/>
                      </w:tblGrid>
                      <w:tr w:rsidR="009144D7" w:rsidRPr="005A1F44" w:rsidTr="00E7679A">
                        <w:trPr>
                          <w:trHeight w:val="3547"/>
                        </w:trPr>
                        <w:tc>
                          <w:tcPr>
                            <w:tcW w:w="8132" w:type="dxa"/>
                          </w:tcPr>
                          <w:p w:rsidR="009144D7" w:rsidRPr="005A1F44" w:rsidRDefault="009144D7" w:rsidP="00E7679A">
                            <w:pPr>
                              <w:pStyle w:val="Title"/>
                              <w:rPr>
                                <w:color w:val="FFFFFF"/>
                              </w:rPr>
                            </w:pPr>
                            <w:bookmarkStart w:id="10" w:name="Cover1" w:colFirst="0" w:colLast="1"/>
                            <w:bookmarkStart w:id="11" w:name="CoverTable1"/>
                            <w:r>
                              <w:rPr>
                                <w:color w:val="FFFFFF"/>
                              </w:rPr>
                              <w:t xml:space="preserve">West Wittering Housing Needs Assessment (HNA) </w:t>
                            </w: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SubTitle \* MERGEFORMAT </w:instrText>
                            </w:r>
                            <w:r w:rsidRPr="005A1F44">
                              <w:rPr>
                                <w:color w:val="FFFFFF"/>
                              </w:rPr>
                              <w:fldChar w:fldCharType="end"/>
                            </w: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SupplementaryTitle \* MERGEFORMAT </w:instrText>
                            </w:r>
                            <w:r w:rsidRPr="005A1F44">
                              <w:rPr>
                                <w:color w:val="FFFFFF"/>
                              </w:rPr>
                              <w:fldChar w:fldCharType="end"/>
                            </w:r>
                          </w:p>
                          <w:p w:rsidR="009144D7" w:rsidRPr="005A1F44" w:rsidRDefault="009144D7" w:rsidP="00E7679A">
                            <w:pPr>
                              <w:rPr>
                                <w:color w:val="FFFFFF"/>
                              </w:rPr>
                            </w:pPr>
                          </w:p>
                          <w:p w:rsidR="009144D7" w:rsidRPr="005A1F44" w:rsidRDefault="009144D7" w:rsidP="00F83749">
                            <w:pPr>
                              <w:pStyle w:val="Subtitleheading"/>
                              <w:rPr>
                                <w:color w:val="FFFFFF"/>
                              </w:rPr>
                            </w:pPr>
                            <w:r w:rsidRPr="005A1F44">
                              <w:rPr>
                                <w:color w:val="FFFFFF"/>
                              </w:rPr>
                              <w:fldChar w:fldCharType="begin"/>
                            </w:r>
                            <w:r w:rsidRPr="005A1F44">
                              <w:rPr>
                                <w:color w:val="FFFFFF"/>
                              </w:rPr>
                              <w:instrText xml:space="preserve"> DOCPROPERTY  ClientName \* MERGEFORMAT </w:instrText>
                            </w:r>
                            <w:r w:rsidRPr="005A1F44">
                              <w:rPr>
                                <w:color w:val="FFFFFF"/>
                              </w:rPr>
                              <w:fldChar w:fldCharType="end"/>
                            </w:r>
                          </w:p>
                          <w:p w:rsidR="009144D7" w:rsidRPr="005A1F44" w:rsidRDefault="009144D7" w:rsidP="00347538">
                            <w:pPr>
                              <w:pStyle w:val="Subtitle"/>
                              <w:rPr>
                                <w:rFonts w:asciiTheme="minorHAnsi" w:hAnsiTheme="minorHAnsi" w:cstheme="minorHAnsi"/>
                                <w:color w:val="FFFFFF"/>
                              </w:rPr>
                            </w:pPr>
                            <w:r w:rsidRPr="005A1F44">
                              <w:rPr>
                                <w:rFonts w:asciiTheme="minorHAnsi" w:hAnsiTheme="minorHAnsi" w:cstheme="minorHAnsi"/>
                                <w:color w:val="FFFFFF"/>
                              </w:rPr>
                              <w:fldChar w:fldCharType="begin"/>
                            </w:r>
                            <w:r w:rsidRPr="005A1F44">
                              <w:rPr>
                                <w:rFonts w:asciiTheme="minorHAnsi" w:hAnsiTheme="minorHAnsi" w:cstheme="minorHAnsi"/>
                                <w:color w:val="FFFFFF"/>
                              </w:rPr>
                              <w:instrText xml:space="preserve"> DOCPROPERTY  TenderStage \* MERGEFORMAT </w:instrText>
                            </w:r>
                            <w:r w:rsidRPr="005A1F44">
                              <w:rPr>
                                <w:rFonts w:asciiTheme="minorHAnsi" w:hAnsiTheme="minorHAnsi" w:cstheme="minorHAnsi"/>
                                <w:color w:val="FFFFFF"/>
                              </w:rPr>
                              <w:fldChar w:fldCharType="end"/>
                            </w:r>
                          </w:p>
                          <w:p w:rsidR="009144D7" w:rsidRPr="005A1F44" w:rsidRDefault="009144D7" w:rsidP="00BA5047">
                            <w:pPr>
                              <w:rPr>
                                <w:color w:val="FFFFFF"/>
                              </w:rPr>
                            </w:pP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ProjectRef \* MERGEFORMAT </w:instrText>
                            </w:r>
                            <w:r w:rsidRPr="005A1F44">
                              <w:rPr>
                                <w:color w:val="FFFFFF"/>
                              </w:rPr>
                              <w:fldChar w:fldCharType="separate"/>
                            </w:r>
                            <w:r>
                              <w:rPr>
                                <w:color w:val="FFFFFF"/>
                              </w:rPr>
                              <w:t xml:space="preserve"> </w:t>
                            </w:r>
                            <w:r w:rsidRPr="005A1F44">
                              <w:rPr>
                                <w:color w:val="FFFFFF"/>
                              </w:rPr>
                              <w:fldChar w:fldCharType="end"/>
                            </w: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ProjectNumber \* MERGEFORMAT </w:instrText>
                            </w:r>
                            <w:r w:rsidRPr="005A1F44">
                              <w:rPr>
                                <w:color w:val="FFFFFF"/>
                              </w:rPr>
                              <w:fldChar w:fldCharType="separate"/>
                            </w:r>
                            <w:r>
                              <w:rPr>
                                <w:color w:val="FFFFFF"/>
                              </w:rPr>
                              <w:t xml:space="preserve"> </w:t>
                            </w:r>
                            <w:r w:rsidRPr="005A1F44">
                              <w:rPr>
                                <w:color w:val="FFFFFF"/>
                              </w:rPr>
                              <w:fldChar w:fldCharType="end"/>
                            </w:r>
                          </w:p>
                          <w:p w:rsidR="009144D7" w:rsidRPr="005A1F44" w:rsidRDefault="009144D7" w:rsidP="00BA5047">
                            <w:pPr>
                              <w:pStyle w:val="Coverfooter"/>
                              <w:rPr>
                                <w:color w:val="FFFFFF"/>
                              </w:rPr>
                            </w:pPr>
                            <w:r w:rsidRPr="005A1F44">
                              <w:rPr>
                                <w:color w:val="FFFFFF"/>
                              </w:rPr>
                              <w:fldChar w:fldCharType="begin"/>
                            </w:r>
                            <w:r w:rsidRPr="005A1F44">
                              <w:rPr>
                                <w:color w:val="FFFFFF"/>
                              </w:rPr>
                              <w:instrText xml:space="preserve"> DOCPROPERTY  DocumentReference \* MERGEFORMAT </w:instrText>
                            </w:r>
                            <w:r w:rsidRPr="005A1F44">
                              <w:rPr>
                                <w:color w:val="FFFFFF"/>
                              </w:rPr>
                              <w:fldChar w:fldCharType="end"/>
                            </w:r>
                          </w:p>
                          <w:p w:rsidR="009144D7" w:rsidRPr="005A1F44" w:rsidRDefault="009144D7" w:rsidP="00BA5047">
                            <w:pPr>
                              <w:pStyle w:val="Coverfooter"/>
                              <w:rPr>
                                <w:color w:val="FFFFFF"/>
                              </w:rPr>
                            </w:pPr>
                            <w:r>
                              <w:rPr>
                                <w:color w:val="FFFFFF"/>
                              </w:rPr>
                              <w:t>January 2018</w:t>
                            </w:r>
                          </w:p>
                        </w:tc>
                      </w:tr>
                      <w:bookmarkEnd w:id="10"/>
                      <w:bookmarkEnd w:id="11"/>
                    </w:tbl>
                    <w:p w:rsidR="009144D7" w:rsidRDefault="009144D7" w:rsidP="00213392"/>
                  </w:txbxContent>
                </v:textbox>
                <w10:wrap anchorx="margin" anchory="page"/>
              </v:shape>
            </w:pict>
          </mc:Fallback>
        </mc:AlternateContent>
      </w:r>
    </w:p>
    <w:p w:rsidR="00F12DD7" w:rsidRDefault="00F12DD7" w:rsidP="00F12DD7">
      <w:pPr>
        <w:pStyle w:val="BodyText"/>
        <w:sectPr w:rsidR="00F12DD7" w:rsidSect="004E43B0">
          <w:pgSz w:w="11906" w:h="16838" w:code="9"/>
          <w:pgMar w:top="1134" w:right="1440" w:bottom="851" w:left="1440" w:header="709" w:footer="284" w:gutter="0"/>
          <w:cols w:space="708"/>
          <w:docGrid w:linePitch="360"/>
        </w:sectPr>
      </w:pPr>
    </w:p>
    <w:p w:rsidR="00067457" w:rsidRPr="00542F08" w:rsidRDefault="005A1F44" w:rsidP="001A11B6">
      <w:pPr>
        <w:pStyle w:val="Heading"/>
        <w:pageBreakBefore/>
      </w:pPr>
      <w:bookmarkStart w:id="12" w:name="Text_QualityInformation"/>
      <w:r>
        <w:lastRenderedPageBreak/>
        <w:t>Quality information</w:t>
      </w:r>
      <w:bookmarkEnd w:id="12"/>
    </w:p>
    <w:tbl>
      <w:tblPr>
        <w:tblStyle w:val="AECOMtable"/>
        <w:tblW w:w="4950" w:type="pct"/>
        <w:tblLook w:val="04A0" w:firstRow="1" w:lastRow="0" w:firstColumn="1" w:lastColumn="0" w:noHBand="0" w:noVBand="1"/>
      </w:tblPr>
      <w:tblGrid>
        <w:gridCol w:w="2552"/>
        <w:gridCol w:w="425"/>
        <w:gridCol w:w="2835"/>
        <w:gridCol w:w="425"/>
        <w:gridCol w:w="2811"/>
      </w:tblGrid>
      <w:tr w:rsidR="00067457" w:rsidTr="00133853">
        <w:trPr>
          <w:cnfStyle w:val="100000000000" w:firstRow="1" w:lastRow="0" w:firstColumn="0" w:lastColumn="0" w:oddVBand="0" w:evenVBand="0" w:oddHBand="0" w:evenHBand="0" w:firstRowFirstColumn="0" w:firstRowLastColumn="0" w:lastRowFirstColumn="0" w:lastRowLastColumn="0"/>
        </w:trPr>
        <w:tc>
          <w:tcPr>
            <w:tcW w:w="2552" w:type="dxa"/>
          </w:tcPr>
          <w:p w:rsidR="00067457" w:rsidRDefault="005A1F44" w:rsidP="00AA045B">
            <w:pPr>
              <w:pStyle w:val="Tabletext"/>
            </w:pPr>
            <w:bookmarkStart w:id="13" w:name="Text_PreparedBy"/>
            <w:r>
              <w:t>Prepared by</w:t>
            </w:r>
            <w:bookmarkEnd w:id="13"/>
          </w:p>
        </w:tc>
        <w:tc>
          <w:tcPr>
            <w:tcW w:w="425" w:type="dxa"/>
            <w:tcBorders>
              <w:bottom w:val="nil"/>
            </w:tcBorders>
          </w:tcPr>
          <w:p w:rsidR="00067457" w:rsidRDefault="00067457" w:rsidP="00AA045B">
            <w:pPr>
              <w:pStyle w:val="Tabletext"/>
            </w:pPr>
          </w:p>
        </w:tc>
        <w:tc>
          <w:tcPr>
            <w:tcW w:w="2835" w:type="dxa"/>
          </w:tcPr>
          <w:p w:rsidR="00067457" w:rsidRDefault="005A1F44" w:rsidP="00AA045B">
            <w:pPr>
              <w:pStyle w:val="Tabletext"/>
            </w:pPr>
            <w:bookmarkStart w:id="14" w:name="Text_CheckedBy"/>
            <w:r>
              <w:t>Checked by</w:t>
            </w:r>
            <w:bookmarkEnd w:id="14"/>
          </w:p>
        </w:tc>
        <w:tc>
          <w:tcPr>
            <w:tcW w:w="425" w:type="dxa"/>
            <w:tcBorders>
              <w:bottom w:val="nil"/>
            </w:tcBorders>
          </w:tcPr>
          <w:p w:rsidR="00067457" w:rsidRDefault="00067457" w:rsidP="00AA045B">
            <w:pPr>
              <w:pStyle w:val="Tabletext"/>
            </w:pPr>
          </w:p>
        </w:tc>
        <w:tc>
          <w:tcPr>
            <w:tcW w:w="2811" w:type="dxa"/>
          </w:tcPr>
          <w:p w:rsidR="00067457" w:rsidRDefault="005A1F44" w:rsidP="00AA045B">
            <w:pPr>
              <w:pStyle w:val="Tabletext"/>
            </w:pPr>
            <w:bookmarkStart w:id="15" w:name="Text_ApprovedBy"/>
            <w:r>
              <w:t>Approved by</w:t>
            </w:r>
            <w:bookmarkEnd w:id="15"/>
          </w:p>
        </w:tc>
      </w:tr>
      <w:tr w:rsidR="00067457" w:rsidTr="00133853">
        <w:tc>
          <w:tcPr>
            <w:tcW w:w="2552" w:type="dxa"/>
          </w:tcPr>
          <w:p w:rsidR="00067457" w:rsidRDefault="00381A26" w:rsidP="00AA045B">
            <w:pPr>
              <w:pStyle w:val="Tabletext"/>
            </w:pPr>
            <w:r>
              <w:t>Ivan Tennant, Principal Planner</w:t>
            </w:r>
          </w:p>
          <w:p w:rsidR="00381A26" w:rsidRDefault="00381A26" w:rsidP="00AA045B">
            <w:pPr>
              <w:pStyle w:val="Tabletext"/>
            </w:pPr>
            <w:r>
              <w:t>Guillaume Rey, Planning Intern</w:t>
            </w:r>
          </w:p>
        </w:tc>
        <w:tc>
          <w:tcPr>
            <w:tcW w:w="425" w:type="dxa"/>
            <w:tcBorders>
              <w:top w:val="nil"/>
              <w:bottom w:val="nil"/>
            </w:tcBorders>
          </w:tcPr>
          <w:p w:rsidR="00067457" w:rsidRDefault="00067457" w:rsidP="00AA045B">
            <w:pPr>
              <w:pStyle w:val="Tabletext"/>
            </w:pPr>
          </w:p>
        </w:tc>
        <w:tc>
          <w:tcPr>
            <w:tcW w:w="2835" w:type="dxa"/>
          </w:tcPr>
          <w:p w:rsidR="00067457" w:rsidRDefault="00381A26" w:rsidP="00AA045B">
            <w:pPr>
              <w:pStyle w:val="Tabletext"/>
            </w:pPr>
            <w:r>
              <w:t xml:space="preserve">Steve Smith, Technical Director </w:t>
            </w:r>
          </w:p>
        </w:tc>
        <w:tc>
          <w:tcPr>
            <w:tcW w:w="425" w:type="dxa"/>
            <w:tcBorders>
              <w:top w:val="nil"/>
              <w:bottom w:val="nil"/>
            </w:tcBorders>
          </w:tcPr>
          <w:p w:rsidR="00067457" w:rsidRDefault="00067457" w:rsidP="00AA045B">
            <w:pPr>
              <w:pStyle w:val="Tabletext"/>
            </w:pPr>
          </w:p>
        </w:tc>
        <w:tc>
          <w:tcPr>
            <w:tcW w:w="2811" w:type="dxa"/>
          </w:tcPr>
          <w:p w:rsidR="00067457" w:rsidRDefault="00067457" w:rsidP="00AA045B">
            <w:pPr>
              <w:pStyle w:val="Tabletext"/>
            </w:pPr>
          </w:p>
        </w:tc>
      </w:tr>
      <w:tr w:rsidR="00067457" w:rsidTr="00133853">
        <w:tc>
          <w:tcPr>
            <w:tcW w:w="2552" w:type="dxa"/>
          </w:tcPr>
          <w:p w:rsidR="00067457" w:rsidRDefault="00067457" w:rsidP="00AA045B">
            <w:pPr>
              <w:pStyle w:val="Tabletext"/>
            </w:pPr>
            <w:bookmarkStart w:id="16" w:name="Contact2"/>
            <w:bookmarkEnd w:id="16"/>
          </w:p>
        </w:tc>
        <w:tc>
          <w:tcPr>
            <w:tcW w:w="425" w:type="dxa"/>
            <w:tcBorders>
              <w:top w:val="nil"/>
              <w:bottom w:val="nil"/>
            </w:tcBorders>
          </w:tcPr>
          <w:p w:rsidR="00067457" w:rsidRDefault="00067457" w:rsidP="00AA045B">
            <w:pPr>
              <w:pStyle w:val="Tabletext"/>
            </w:pPr>
          </w:p>
        </w:tc>
        <w:tc>
          <w:tcPr>
            <w:tcW w:w="2835" w:type="dxa"/>
          </w:tcPr>
          <w:p w:rsidR="00067457" w:rsidRDefault="00067457" w:rsidP="00AA045B">
            <w:pPr>
              <w:pStyle w:val="Tabletext"/>
            </w:pPr>
            <w:bookmarkStart w:id="17" w:name="CheckedBy"/>
            <w:bookmarkEnd w:id="17"/>
          </w:p>
        </w:tc>
        <w:tc>
          <w:tcPr>
            <w:tcW w:w="425" w:type="dxa"/>
            <w:tcBorders>
              <w:top w:val="nil"/>
              <w:bottom w:val="nil"/>
            </w:tcBorders>
          </w:tcPr>
          <w:p w:rsidR="00067457" w:rsidRDefault="00067457" w:rsidP="00AA045B">
            <w:pPr>
              <w:pStyle w:val="Tabletext"/>
            </w:pPr>
          </w:p>
        </w:tc>
        <w:tc>
          <w:tcPr>
            <w:tcW w:w="2811" w:type="dxa"/>
          </w:tcPr>
          <w:p w:rsidR="00067457" w:rsidRDefault="00067457" w:rsidP="00AA045B">
            <w:pPr>
              <w:pStyle w:val="Tabletext"/>
            </w:pPr>
            <w:bookmarkStart w:id="18" w:name="ApprovedBy"/>
            <w:bookmarkEnd w:id="18"/>
          </w:p>
        </w:tc>
      </w:tr>
    </w:tbl>
    <w:p w:rsidR="00067457" w:rsidRDefault="00067457" w:rsidP="00AA045B">
      <w:pPr>
        <w:pStyle w:val="BodyText"/>
      </w:pPr>
    </w:p>
    <w:p w:rsidR="00067457" w:rsidRDefault="00067457" w:rsidP="00067457"/>
    <w:p w:rsidR="00067457" w:rsidRDefault="005A1F44" w:rsidP="00067457">
      <w:pPr>
        <w:pStyle w:val="Heading"/>
      </w:pPr>
      <w:bookmarkStart w:id="19" w:name="Text_RevisionHistory"/>
      <w:r>
        <w:t xml:space="preserve">Revision </w:t>
      </w:r>
      <w:r w:rsidR="00167804">
        <w:t>h</w:t>
      </w:r>
      <w:r>
        <w:t>istory</w:t>
      </w:r>
      <w:bookmarkEnd w:id="19"/>
    </w:p>
    <w:tbl>
      <w:tblPr>
        <w:tblStyle w:val="AECOMtable"/>
        <w:tblW w:w="4950" w:type="pct"/>
        <w:tblLook w:val="04A0" w:firstRow="1" w:lastRow="0" w:firstColumn="1" w:lastColumn="0" w:noHBand="0" w:noVBand="1"/>
      </w:tblPr>
      <w:tblGrid>
        <w:gridCol w:w="1508"/>
        <w:gridCol w:w="1508"/>
        <w:gridCol w:w="1508"/>
        <w:gridCol w:w="1508"/>
        <w:gridCol w:w="1508"/>
        <w:gridCol w:w="1508"/>
      </w:tblGrid>
      <w:tr w:rsidR="00067457" w:rsidTr="00133853">
        <w:trPr>
          <w:cnfStyle w:val="100000000000" w:firstRow="1" w:lastRow="0" w:firstColumn="0" w:lastColumn="0" w:oddVBand="0" w:evenVBand="0" w:oddHBand="0" w:evenHBand="0" w:firstRowFirstColumn="0" w:firstRowLastColumn="0" w:lastRowFirstColumn="0" w:lastRowLastColumn="0"/>
        </w:trPr>
        <w:tc>
          <w:tcPr>
            <w:tcW w:w="1508" w:type="dxa"/>
          </w:tcPr>
          <w:p w:rsidR="00067457" w:rsidRDefault="00067457" w:rsidP="00AA045B">
            <w:pPr>
              <w:pStyle w:val="Tabletext"/>
            </w:pPr>
            <w:bookmarkStart w:id="20" w:name="Text_Revision"/>
            <w:r>
              <w:t>Revision</w:t>
            </w:r>
            <w:bookmarkEnd w:id="20"/>
          </w:p>
        </w:tc>
        <w:tc>
          <w:tcPr>
            <w:tcW w:w="1508" w:type="dxa"/>
          </w:tcPr>
          <w:p w:rsidR="00067457" w:rsidRDefault="005A1F44" w:rsidP="00AA045B">
            <w:pPr>
              <w:pStyle w:val="Tabletext"/>
              <w:rPr>
                <w:b w:val="0"/>
              </w:rPr>
            </w:pPr>
            <w:bookmarkStart w:id="21" w:name="Text_RevisionDate"/>
            <w:r>
              <w:t>Revision date</w:t>
            </w:r>
            <w:bookmarkEnd w:id="21"/>
          </w:p>
        </w:tc>
        <w:tc>
          <w:tcPr>
            <w:tcW w:w="1508" w:type="dxa"/>
          </w:tcPr>
          <w:p w:rsidR="00067457" w:rsidRDefault="00067457" w:rsidP="00AA045B">
            <w:pPr>
              <w:pStyle w:val="Tabletext"/>
            </w:pPr>
            <w:bookmarkStart w:id="22" w:name="Text_Details"/>
            <w:r>
              <w:t>Details</w:t>
            </w:r>
            <w:bookmarkEnd w:id="22"/>
          </w:p>
        </w:tc>
        <w:tc>
          <w:tcPr>
            <w:tcW w:w="1508" w:type="dxa"/>
          </w:tcPr>
          <w:p w:rsidR="00067457" w:rsidRDefault="00067457" w:rsidP="00AA045B">
            <w:pPr>
              <w:pStyle w:val="Tabletext"/>
            </w:pPr>
            <w:bookmarkStart w:id="23" w:name="Text_Authorized"/>
            <w:r>
              <w:t>Authori</w:t>
            </w:r>
            <w:r w:rsidR="00167804">
              <w:t>s</w:t>
            </w:r>
            <w:r>
              <w:t>ed</w:t>
            </w:r>
            <w:bookmarkEnd w:id="23"/>
          </w:p>
        </w:tc>
        <w:tc>
          <w:tcPr>
            <w:tcW w:w="1508" w:type="dxa"/>
          </w:tcPr>
          <w:p w:rsidR="00067457" w:rsidRPr="009052D1" w:rsidRDefault="00067457" w:rsidP="00AA045B">
            <w:pPr>
              <w:pStyle w:val="Tabletext"/>
            </w:pPr>
            <w:bookmarkStart w:id="24" w:name="Text_Name"/>
            <w:r w:rsidRPr="009052D1">
              <w:t>Name</w:t>
            </w:r>
            <w:bookmarkEnd w:id="24"/>
          </w:p>
        </w:tc>
        <w:tc>
          <w:tcPr>
            <w:tcW w:w="1508" w:type="dxa"/>
          </w:tcPr>
          <w:p w:rsidR="00067457" w:rsidRDefault="00067457" w:rsidP="00AA045B">
            <w:pPr>
              <w:pStyle w:val="Tabletext"/>
            </w:pPr>
            <w:bookmarkStart w:id="25" w:name="Text_Position"/>
            <w:r>
              <w:t>Position</w:t>
            </w:r>
            <w:bookmarkEnd w:id="25"/>
          </w:p>
        </w:tc>
      </w:tr>
      <w:tr w:rsidR="00067457" w:rsidRPr="00542F08" w:rsidTr="00133853">
        <w:tc>
          <w:tcPr>
            <w:tcW w:w="1508" w:type="dxa"/>
          </w:tcPr>
          <w:p w:rsidR="00067457" w:rsidRPr="00542F08" w:rsidRDefault="00067457" w:rsidP="00AA045B">
            <w:pPr>
              <w:pStyle w:val="Tabletext"/>
            </w:pPr>
            <w:bookmarkStart w:id="26" w:name="RevisionStatus"/>
            <w:bookmarkEnd w:id="26"/>
          </w:p>
        </w:tc>
        <w:tc>
          <w:tcPr>
            <w:tcW w:w="1508" w:type="dxa"/>
          </w:tcPr>
          <w:p w:rsidR="00067457" w:rsidRDefault="00067457" w:rsidP="00AA045B">
            <w:pPr>
              <w:pStyle w:val="Tabletext"/>
            </w:pPr>
          </w:p>
        </w:tc>
        <w:tc>
          <w:tcPr>
            <w:tcW w:w="1508" w:type="dxa"/>
          </w:tcPr>
          <w:p w:rsidR="00067457" w:rsidRDefault="00067457" w:rsidP="00AA045B">
            <w:pPr>
              <w:pStyle w:val="Tabletext"/>
            </w:pPr>
          </w:p>
        </w:tc>
        <w:tc>
          <w:tcPr>
            <w:tcW w:w="1508" w:type="dxa"/>
          </w:tcPr>
          <w:p w:rsidR="00067457" w:rsidRPr="00542F08" w:rsidRDefault="00067457" w:rsidP="00AA045B">
            <w:pPr>
              <w:pStyle w:val="Tabletext"/>
            </w:pPr>
          </w:p>
        </w:tc>
        <w:tc>
          <w:tcPr>
            <w:tcW w:w="1508" w:type="dxa"/>
          </w:tcPr>
          <w:p w:rsidR="00067457" w:rsidRDefault="00067457" w:rsidP="00AA045B">
            <w:pPr>
              <w:pStyle w:val="Tabletext"/>
            </w:pPr>
          </w:p>
        </w:tc>
        <w:tc>
          <w:tcPr>
            <w:tcW w:w="1508" w:type="dxa"/>
          </w:tcPr>
          <w:p w:rsidR="00067457" w:rsidRDefault="00067457" w:rsidP="00AA045B">
            <w:pPr>
              <w:pStyle w:val="Tabletext"/>
            </w:pPr>
          </w:p>
        </w:tc>
      </w:tr>
      <w:tr w:rsidR="00067457" w:rsidRPr="00542F08" w:rsidTr="00133853">
        <w:tc>
          <w:tcPr>
            <w:tcW w:w="1508" w:type="dxa"/>
          </w:tcPr>
          <w:p w:rsidR="00067457" w:rsidRPr="00542F08" w:rsidRDefault="00067457" w:rsidP="00AA045B">
            <w:pPr>
              <w:pStyle w:val="Tabletext"/>
            </w:pPr>
          </w:p>
        </w:tc>
        <w:tc>
          <w:tcPr>
            <w:tcW w:w="1508" w:type="dxa"/>
          </w:tcPr>
          <w:p w:rsidR="00067457" w:rsidRDefault="00067457" w:rsidP="00AA045B">
            <w:pPr>
              <w:pStyle w:val="Tabletext"/>
            </w:pPr>
          </w:p>
        </w:tc>
        <w:tc>
          <w:tcPr>
            <w:tcW w:w="1508" w:type="dxa"/>
          </w:tcPr>
          <w:p w:rsidR="00067457" w:rsidRDefault="00067457" w:rsidP="00AA045B">
            <w:pPr>
              <w:pStyle w:val="Tabletext"/>
            </w:pPr>
          </w:p>
        </w:tc>
        <w:tc>
          <w:tcPr>
            <w:tcW w:w="1508" w:type="dxa"/>
          </w:tcPr>
          <w:p w:rsidR="00067457" w:rsidRPr="00542F08" w:rsidRDefault="00067457" w:rsidP="00AA045B">
            <w:pPr>
              <w:pStyle w:val="Tabletext"/>
            </w:pPr>
          </w:p>
        </w:tc>
        <w:tc>
          <w:tcPr>
            <w:tcW w:w="1508" w:type="dxa"/>
          </w:tcPr>
          <w:p w:rsidR="00067457" w:rsidRDefault="00067457" w:rsidP="00AA045B">
            <w:pPr>
              <w:pStyle w:val="Tabletext"/>
            </w:pPr>
          </w:p>
        </w:tc>
        <w:tc>
          <w:tcPr>
            <w:tcW w:w="1508" w:type="dxa"/>
          </w:tcPr>
          <w:p w:rsidR="00067457" w:rsidRDefault="00067457" w:rsidP="00AA045B">
            <w:pPr>
              <w:pStyle w:val="Tabletext"/>
            </w:pPr>
          </w:p>
        </w:tc>
      </w:tr>
      <w:tr w:rsidR="00067457" w:rsidRPr="00542F08" w:rsidTr="00133853">
        <w:tc>
          <w:tcPr>
            <w:tcW w:w="1508" w:type="dxa"/>
            <w:tcBorders>
              <w:bottom w:val="single" w:sz="4" w:space="0" w:color="auto"/>
            </w:tcBorders>
          </w:tcPr>
          <w:p w:rsidR="00067457" w:rsidRPr="00542F08" w:rsidRDefault="00067457" w:rsidP="00AA045B">
            <w:pPr>
              <w:pStyle w:val="Tabletext"/>
            </w:pPr>
          </w:p>
        </w:tc>
        <w:tc>
          <w:tcPr>
            <w:tcW w:w="1508" w:type="dxa"/>
            <w:tcBorders>
              <w:bottom w:val="single" w:sz="4" w:space="0" w:color="auto"/>
            </w:tcBorders>
          </w:tcPr>
          <w:p w:rsidR="00067457" w:rsidRDefault="00067457" w:rsidP="00AA045B">
            <w:pPr>
              <w:pStyle w:val="Tabletext"/>
            </w:pPr>
          </w:p>
        </w:tc>
        <w:tc>
          <w:tcPr>
            <w:tcW w:w="1508" w:type="dxa"/>
            <w:tcBorders>
              <w:bottom w:val="single" w:sz="4" w:space="0" w:color="auto"/>
            </w:tcBorders>
          </w:tcPr>
          <w:p w:rsidR="00067457" w:rsidRDefault="00067457" w:rsidP="00AA045B">
            <w:pPr>
              <w:pStyle w:val="Tabletext"/>
            </w:pPr>
          </w:p>
        </w:tc>
        <w:tc>
          <w:tcPr>
            <w:tcW w:w="1508" w:type="dxa"/>
            <w:tcBorders>
              <w:bottom w:val="single" w:sz="4" w:space="0" w:color="auto"/>
            </w:tcBorders>
          </w:tcPr>
          <w:p w:rsidR="00067457" w:rsidRPr="00542F08" w:rsidRDefault="00067457" w:rsidP="00AA045B">
            <w:pPr>
              <w:pStyle w:val="Tabletext"/>
            </w:pPr>
          </w:p>
        </w:tc>
        <w:tc>
          <w:tcPr>
            <w:tcW w:w="1508" w:type="dxa"/>
            <w:tcBorders>
              <w:bottom w:val="single" w:sz="4" w:space="0" w:color="auto"/>
            </w:tcBorders>
          </w:tcPr>
          <w:p w:rsidR="00067457" w:rsidRDefault="00067457" w:rsidP="00AA045B">
            <w:pPr>
              <w:pStyle w:val="Tabletext"/>
            </w:pPr>
          </w:p>
        </w:tc>
        <w:tc>
          <w:tcPr>
            <w:tcW w:w="1508" w:type="dxa"/>
            <w:tcBorders>
              <w:bottom w:val="single" w:sz="4" w:space="0" w:color="auto"/>
            </w:tcBorders>
          </w:tcPr>
          <w:p w:rsidR="00067457" w:rsidRDefault="00067457" w:rsidP="00AA045B">
            <w:pPr>
              <w:pStyle w:val="Tabletext"/>
            </w:pPr>
          </w:p>
        </w:tc>
      </w:tr>
      <w:tr w:rsidR="00067457" w:rsidRPr="00542F08" w:rsidTr="00133853">
        <w:tc>
          <w:tcPr>
            <w:tcW w:w="1508" w:type="dxa"/>
            <w:tcBorders>
              <w:top w:val="single" w:sz="4" w:space="0" w:color="auto"/>
              <w:bottom w:val="single" w:sz="4" w:space="0" w:color="auto"/>
            </w:tcBorders>
          </w:tcPr>
          <w:p w:rsidR="00067457" w:rsidRPr="00542F08" w:rsidRDefault="00067457" w:rsidP="00AA045B">
            <w:pPr>
              <w:pStyle w:val="Tabletext"/>
            </w:pPr>
          </w:p>
        </w:tc>
        <w:tc>
          <w:tcPr>
            <w:tcW w:w="1508" w:type="dxa"/>
            <w:tcBorders>
              <w:top w:val="single" w:sz="4" w:space="0" w:color="auto"/>
              <w:bottom w:val="single" w:sz="4" w:space="0" w:color="auto"/>
            </w:tcBorders>
          </w:tcPr>
          <w:p w:rsidR="00067457" w:rsidRDefault="00067457" w:rsidP="00AA045B">
            <w:pPr>
              <w:pStyle w:val="Tabletext"/>
            </w:pPr>
          </w:p>
        </w:tc>
        <w:tc>
          <w:tcPr>
            <w:tcW w:w="1508" w:type="dxa"/>
            <w:tcBorders>
              <w:top w:val="single" w:sz="4" w:space="0" w:color="auto"/>
              <w:bottom w:val="single" w:sz="4" w:space="0" w:color="auto"/>
            </w:tcBorders>
          </w:tcPr>
          <w:p w:rsidR="00067457" w:rsidRDefault="00067457" w:rsidP="00AA045B">
            <w:pPr>
              <w:pStyle w:val="Tabletext"/>
            </w:pPr>
          </w:p>
        </w:tc>
        <w:tc>
          <w:tcPr>
            <w:tcW w:w="1508" w:type="dxa"/>
            <w:tcBorders>
              <w:top w:val="single" w:sz="4" w:space="0" w:color="auto"/>
              <w:bottom w:val="single" w:sz="4" w:space="0" w:color="auto"/>
            </w:tcBorders>
          </w:tcPr>
          <w:p w:rsidR="00067457" w:rsidRPr="00542F08" w:rsidRDefault="00067457" w:rsidP="00AA045B">
            <w:pPr>
              <w:pStyle w:val="Tabletext"/>
            </w:pPr>
          </w:p>
        </w:tc>
        <w:tc>
          <w:tcPr>
            <w:tcW w:w="1508" w:type="dxa"/>
            <w:tcBorders>
              <w:top w:val="single" w:sz="4" w:space="0" w:color="auto"/>
              <w:bottom w:val="single" w:sz="4" w:space="0" w:color="auto"/>
            </w:tcBorders>
          </w:tcPr>
          <w:p w:rsidR="00067457" w:rsidRDefault="00067457" w:rsidP="00AA045B">
            <w:pPr>
              <w:pStyle w:val="Tabletext"/>
            </w:pPr>
          </w:p>
        </w:tc>
        <w:tc>
          <w:tcPr>
            <w:tcW w:w="1508" w:type="dxa"/>
            <w:tcBorders>
              <w:top w:val="single" w:sz="4" w:space="0" w:color="auto"/>
              <w:bottom w:val="single" w:sz="4" w:space="0" w:color="auto"/>
            </w:tcBorders>
          </w:tcPr>
          <w:p w:rsidR="00067457" w:rsidRDefault="00067457" w:rsidP="00AA045B">
            <w:pPr>
              <w:pStyle w:val="Tabletext"/>
            </w:pPr>
          </w:p>
        </w:tc>
      </w:tr>
    </w:tbl>
    <w:p w:rsidR="00067457" w:rsidRDefault="00067457" w:rsidP="00067457">
      <w:pPr>
        <w:tabs>
          <w:tab w:val="clear" w:pos="284"/>
        </w:tabs>
        <w:spacing w:line="240" w:lineRule="auto"/>
      </w:pPr>
    </w:p>
    <w:p w:rsidR="00067457" w:rsidRDefault="00067457" w:rsidP="00067457">
      <w:pPr>
        <w:tabs>
          <w:tab w:val="clear" w:pos="284"/>
        </w:tabs>
        <w:spacing w:line="240" w:lineRule="auto"/>
      </w:pPr>
    </w:p>
    <w:p w:rsidR="00067457" w:rsidRDefault="00067457" w:rsidP="00067457">
      <w:pPr>
        <w:tabs>
          <w:tab w:val="clear" w:pos="284"/>
        </w:tabs>
        <w:spacing w:line="240" w:lineRule="auto"/>
      </w:pPr>
    </w:p>
    <w:p w:rsidR="00067457" w:rsidRDefault="00067457">
      <w:pPr>
        <w:tabs>
          <w:tab w:val="clear" w:pos="284"/>
        </w:tabs>
        <w:spacing w:line="240" w:lineRule="auto"/>
      </w:pPr>
      <w:r>
        <w:br w:type="page"/>
      </w:r>
    </w:p>
    <w:p w:rsidR="00067457" w:rsidRDefault="00067457" w:rsidP="00067457">
      <w:pPr>
        <w:pStyle w:val="BodyText"/>
      </w:pPr>
    </w:p>
    <w:p w:rsidR="00831688" w:rsidRPr="008952D6" w:rsidRDefault="005A1F44" w:rsidP="00542F08">
      <w:pPr>
        <w:pStyle w:val="Heading"/>
      </w:pPr>
      <w:bookmarkStart w:id="27" w:name="Text_PreparedFor"/>
      <w:r>
        <w:t>Prepared for</w:t>
      </w:r>
      <w:bookmarkEnd w:id="27"/>
      <w:r w:rsidR="00831688" w:rsidRPr="008952D6">
        <w:t>:</w:t>
      </w:r>
    </w:p>
    <w:p w:rsidR="002F3B02" w:rsidRPr="0080040C" w:rsidRDefault="00E80CC8" w:rsidP="0081688E">
      <w:r>
        <w:fldChar w:fldCharType="begin"/>
      </w:r>
      <w:r>
        <w:instrText xml:space="preserve"> DOCPROPERTY  ClientName \* MERGEFORMAT </w:instrText>
      </w:r>
      <w:r>
        <w:fldChar w:fldCharType="end"/>
      </w:r>
      <w:bookmarkStart w:id="28" w:name="FooterClientAddress"/>
      <w:bookmarkEnd w:id="28"/>
      <w:r w:rsidR="00AB7A47">
        <w:t>West Wittering</w:t>
      </w:r>
      <w:r w:rsidR="008A0558">
        <w:t xml:space="preserve"> </w:t>
      </w:r>
      <w:r w:rsidR="005F5CF8">
        <w:t>Parish</w:t>
      </w:r>
      <w:r w:rsidR="008A0558">
        <w:t xml:space="preserve"> Council</w:t>
      </w:r>
    </w:p>
    <w:p w:rsidR="00831688" w:rsidRDefault="00831688" w:rsidP="0080040C">
      <w:pPr>
        <w:pStyle w:val="BodyText"/>
      </w:pPr>
    </w:p>
    <w:p w:rsidR="005A1F44" w:rsidRDefault="005A1F44" w:rsidP="006F461B">
      <w:pPr>
        <w:pStyle w:val="Heading"/>
      </w:pPr>
      <w:bookmarkStart w:id="29" w:name="Text_PreparedBy_1"/>
      <w:r>
        <w:t>Prepared by</w:t>
      </w:r>
      <w:bookmarkEnd w:id="29"/>
      <w:r w:rsidR="000F22FF">
        <w:t>:</w:t>
      </w:r>
      <w:bookmarkStart w:id="30" w:name="Contact1"/>
    </w:p>
    <w:p w:rsidR="005A1F44" w:rsidRDefault="005A1F44" w:rsidP="0081688E"/>
    <w:bookmarkEnd w:id="30"/>
    <w:p w:rsidR="005A1F44" w:rsidRDefault="007D60D8" w:rsidP="0081688E">
      <w:r>
        <w:t>‌</w:t>
      </w:r>
      <w:bookmarkStart w:id="31" w:name="OfficeAddress1"/>
      <w:r w:rsidR="00DC7A83">
        <w:t>AECOM</w:t>
      </w:r>
    </w:p>
    <w:p w:rsidR="005A1F44" w:rsidRDefault="005A1F44" w:rsidP="0081688E">
      <w:r>
        <w:t>Aldgate Tower</w:t>
      </w:r>
    </w:p>
    <w:p w:rsidR="005A1F44" w:rsidRDefault="005A1F44" w:rsidP="0081688E">
      <w:r>
        <w:t>2 Leman Street</w:t>
      </w:r>
    </w:p>
    <w:p w:rsidR="005A1F44" w:rsidRDefault="005A1F44" w:rsidP="0081688E">
      <w:r>
        <w:t>London</w:t>
      </w:r>
    </w:p>
    <w:p w:rsidR="005A1F44" w:rsidRDefault="005A1F44" w:rsidP="0081688E">
      <w:r>
        <w:t>E1 8FA</w:t>
      </w:r>
    </w:p>
    <w:p w:rsidR="000F22FF" w:rsidRDefault="005A1F44" w:rsidP="0081688E">
      <w:r>
        <w:t>aecom.com</w:t>
      </w:r>
      <w:bookmarkEnd w:id="31"/>
    </w:p>
    <w:p w:rsidR="00A609EC" w:rsidRDefault="00A609EC" w:rsidP="0080040C">
      <w:pPr>
        <w:pStyle w:val="BodyText"/>
      </w:pPr>
    </w:p>
    <w:p w:rsidR="00A609EC" w:rsidRPr="0080040C" w:rsidRDefault="006F5B88" w:rsidP="0080040C">
      <w:pPr>
        <w:pStyle w:val="Heading"/>
      </w:pPr>
      <w:fldSimple w:instr=" DOCPROPERTY  InAssociationWith \* MERGEFORMAT ">
        <w:r w:rsidR="00E80CC8">
          <w:t xml:space="preserve"> </w:t>
        </w:r>
      </w:fldSimple>
    </w:p>
    <w:p w:rsidR="00A609EC" w:rsidRPr="0080040C" w:rsidRDefault="00E80CC8" w:rsidP="0081688E">
      <w:r>
        <w:fldChar w:fldCharType="begin"/>
      </w:r>
      <w:r>
        <w:instrText xml:space="preserve"> DOCPROPERTY  AdditionalCompanyName \* MERGEFORMAT </w:instrText>
      </w:r>
      <w:r>
        <w:fldChar w:fldCharType="end"/>
      </w:r>
    </w:p>
    <w:p w:rsidR="00A609EC" w:rsidRDefault="00A609EC" w:rsidP="0080040C">
      <w:pPr>
        <w:pStyle w:val="BodyText"/>
      </w:pPr>
    </w:p>
    <w:p w:rsidR="0080040C" w:rsidRPr="0080040C" w:rsidRDefault="00E80CC8" w:rsidP="0080040C">
      <w:pPr>
        <w:pStyle w:val="BodyText"/>
      </w:pPr>
      <w:r>
        <w:fldChar w:fldCharType="begin"/>
      </w:r>
      <w:r>
        <w:instrText xml:space="preserve"> DOCPROPERTY "AccreditationText" </w:instrText>
      </w:r>
      <w:r>
        <w:fldChar w:fldCharType="end"/>
      </w:r>
    </w:p>
    <w:p w:rsidR="0080040C" w:rsidRDefault="00E80CC8" w:rsidP="0080040C">
      <w:pPr>
        <w:pStyle w:val="BodyText"/>
      </w:pPr>
      <w:r>
        <w:fldChar w:fldCharType="begin"/>
      </w:r>
      <w:r>
        <w:instrText xml:space="preserve"> DOCPROPERTY "GreenInitiative" </w:instrText>
      </w:r>
      <w:r>
        <w:fldChar w:fldCharType="end"/>
      </w:r>
    </w:p>
    <w:p w:rsidR="00CD1EA1" w:rsidRDefault="00CD1EA1" w:rsidP="00CD1EA1">
      <w:pPr>
        <w:tabs>
          <w:tab w:val="clear" w:pos="284"/>
        </w:tabs>
        <w:spacing w:line="240" w:lineRule="auto"/>
      </w:pPr>
    </w:p>
    <w:p w:rsidR="00CD1EA1" w:rsidRPr="00542F08" w:rsidRDefault="005A1F44" w:rsidP="00CD1EA1">
      <w:pPr>
        <w:pStyle w:val="BodyText"/>
      </w:pPr>
      <w:bookmarkStart w:id="32" w:name="Copyright"/>
      <w:r>
        <w:t xml:space="preserve">© 2017 </w:t>
      </w:r>
      <w:proofErr w:type="gramStart"/>
      <w:r>
        <w:t>AECOM .</w:t>
      </w:r>
      <w:proofErr w:type="gramEnd"/>
      <w:r>
        <w:t xml:space="preserve"> All Rights Reserved.  </w:t>
      </w:r>
      <w:bookmarkEnd w:id="32"/>
    </w:p>
    <w:p w:rsidR="00CD1EA1" w:rsidRDefault="005A1F44" w:rsidP="00CD1EA1">
      <w:pPr>
        <w:pStyle w:val="BodyText"/>
      </w:pPr>
      <w:bookmarkStart w:id="33" w:name="Disclaimer"/>
      <w:r>
        <w:t>This docu</w:t>
      </w:r>
      <w:r w:rsidR="00DC7A83">
        <w:t>ment has been prepared by AECOM</w:t>
      </w:r>
      <w:r>
        <w:t xml:space="preserve"> (“AE</w:t>
      </w:r>
      <w:r w:rsidR="008A0558">
        <w:t xml:space="preserve">COM”) for sole use of </w:t>
      </w:r>
      <w:r w:rsidR="00AB7A47">
        <w:t>our client</w:t>
      </w:r>
      <w:r>
        <w:t xml:space="preserve">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33"/>
    </w:p>
    <w:p w:rsidR="000D13AF" w:rsidRDefault="000D13AF">
      <w:pPr>
        <w:tabs>
          <w:tab w:val="clear" w:pos="284"/>
        </w:tabs>
        <w:spacing w:line="240" w:lineRule="auto"/>
      </w:pPr>
      <w:r>
        <w:br w:type="page"/>
      </w:r>
    </w:p>
    <w:p w:rsidR="003964F2" w:rsidRDefault="003964F2" w:rsidP="003964F2">
      <w:pPr>
        <w:pStyle w:val="TOCHeading"/>
        <w:rPr>
          <w:noProof/>
        </w:rPr>
      </w:pPr>
      <w:bookmarkStart w:id="34" w:name="Text_Contents"/>
      <w:bookmarkStart w:id="35" w:name="TOC"/>
      <w:r>
        <w:rPr>
          <w:noProof/>
        </w:rPr>
        <w:lastRenderedPageBreak/>
        <w:t>Table of Contents</w:t>
      </w:r>
      <w:bookmarkEnd w:id="34"/>
    </w:p>
    <w:p w:rsidR="00B25544" w:rsidRDefault="00B25544">
      <w:pPr>
        <w:pStyle w:val="TOC1"/>
        <w:rPr>
          <w:rFonts w:asciiTheme="minorHAnsi" w:eastAsiaTheme="minorEastAsia" w:hAnsiTheme="minorHAnsi"/>
          <w:noProof/>
          <w:kern w:val="0"/>
          <w:sz w:val="22"/>
          <w:szCs w:val="22"/>
          <w:lang w:eastAsia="en-GB"/>
        </w:rPr>
      </w:pPr>
      <w:r>
        <w:rPr>
          <w:noProof/>
        </w:rPr>
        <w:fldChar w:fldCharType="begin"/>
      </w:r>
      <w:r>
        <w:rPr>
          <w:noProof/>
        </w:rPr>
        <w:instrText xml:space="preserve"> TOC \o "1-2" \u </w:instrText>
      </w:r>
      <w:r>
        <w:rPr>
          <w:noProof/>
        </w:rPr>
        <w:fldChar w:fldCharType="separate"/>
      </w:r>
      <w:r w:rsidRPr="00670E77">
        <w:rPr>
          <w:noProof/>
          <w:lang w:val="en-US"/>
        </w:rPr>
        <w:t>1.</w:t>
      </w:r>
      <w:r>
        <w:rPr>
          <w:rFonts w:asciiTheme="minorHAnsi" w:eastAsiaTheme="minorEastAsia" w:hAnsiTheme="minorHAnsi"/>
          <w:noProof/>
          <w:kern w:val="0"/>
          <w:sz w:val="22"/>
          <w:szCs w:val="22"/>
          <w:lang w:eastAsia="en-GB"/>
        </w:rPr>
        <w:tab/>
      </w:r>
      <w:r w:rsidRPr="00670E77">
        <w:rPr>
          <w:noProof/>
          <w:lang w:val="en-US"/>
        </w:rPr>
        <w:t>Executive Summary</w:t>
      </w:r>
      <w:r>
        <w:rPr>
          <w:noProof/>
        </w:rPr>
        <w:tab/>
      </w:r>
      <w:r>
        <w:rPr>
          <w:noProof/>
        </w:rPr>
        <w:fldChar w:fldCharType="begin"/>
      </w:r>
      <w:r>
        <w:rPr>
          <w:noProof/>
        </w:rPr>
        <w:instrText xml:space="preserve"> PAGEREF _Toc504464717 \h </w:instrText>
      </w:r>
      <w:r>
        <w:rPr>
          <w:noProof/>
        </w:rPr>
      </w:r>
      <w:r>
        <w:rPr>
          <w:noProof/>
        </w:rPr>
        <w:fldChar w:fldCharType="separate"/>
      </w:r>
      <w:r>
        <w:rPr>
          <w:noProof/>
        </w:rPr>
        <w:t>1-6</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2.</w:t>
      </w:r>
      <w:r>
        <w:rPr>
          <w:rFonts w:asciiTheme="minorHAnsi" w:eastAsiaTheme="minorEastAsia" w:hAnsiTheme="minorHAnsi"/>
          <w:noProof/>
          <w:kern w:val="0"/>
          <w:sz w:val="22"/>
          <w:szCs w:val="22"/>
          <w:lang w:eastAsia="en-GB"/>
        </w:rPr>
        <w:tab/>
      </w:r>
      <w:r w:rsidRPr="00670E77">
        <w:rPr>
          <w:noProof/>
          <w:lang w:val="en-US"/>
        </w:rPr>
        <w:t>Context</w:t>
      </w:r>
      <w:r>
        <w:rPr>
          <w:noProof/>
        </w:rPr>
        <w:tab/>
      </w:r>
      <w:r>
        <w:rPr>
          <w:noProof/>
        </w:rPr>
        <w:fldChar w:fldCharType="begin"/>
      </w:r>
      <w:r>
        <w:rPr>
          <w:noProof/>
        </w:rPr>
        <w:instrText xml:space="preserve"> PAGEREF _Toc504464718 \h </w:instrText>
      </w:r>
      <w:r>
        <w:rPr>
          <w:noProof/>
        </w:rPr>
      </w:r>
      <w:r>
        <w:rPr>
          <w:noProof/>
        </w:rPr>
        <w:fldChar w:fldCharType="separate"/>
      </w:r>
      <w:r>
        <w:rPr>
          <w:noProof/>
        </w:rPr>
        <w:t>2-15</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2.1</w:t>
      </w:r>
      <w:r>
        <w:rPr>
          <w:rFonts w:eastAsiaTheme="minorEastAsia"/>
          <w:noProof/>
          <w:kern w:val="0"/>
          <w:sz w:val="22"/>
          <w:szCs w:val="22"/>
          <w:lang w:eastAsia="en-GB"/>
        </w:rPr>
        <w:tab/>
      </w:r>
      <w:r w:rsidRPr="00670E77">
        <w:rPr>
          <w:noProof/>
          <w:lang w:val="en-US"/>
        </w:rPr>
        <w:t>Local planning context</w:t>
      </w:r>
      <w:r>
        <w:rPr>
          <w:noProof/>
        </w:rPr>
        <w:tab/>
      </w:r>
      <w:r>
        <w:rPr>
          <w:noProof/>
        </w:rPr>
        <w:fldChar w:fldCharType="begin"/>
      </w:r>
      <w:r>
        <w:rPr>
          <w:noProof/>
        </w:rPr>
        <w:instrText xml:space="preserve"> PAGEREF _Toc504464719 \h </w:instrText>
      </w:r>
      <w:r>
        <w:rPr>
          <w:noProof/>
        </w:rPr>
      </w:r>
      <w:r>
        <w:rPr>
          <w:noProof/>
        </w:rPr>
        <w:fldChar w:fldCharType="separate"/>
      </w:r>
      <w:r>
        <w:rPr>
          <w:noProof/>
        </w:rPr>
        <w:t>2-15</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3.</w:t>
      </w:r>
      <w:r>
        <w:rPr>
          <w:rFonts w:asciiTheme="minorHAnsi" w:eastAsiaTheme="minorEastAsia" w:hAnsiTheme="minorHAnsi"/>
          <w:noProof/>
          <w:kern w:val="0"/>
          <w:sz w:val="22"/>
          <w:szCs w:val="22"/>
          <w:lang w:eastAsia="en-GB"/>
        </w:rPr>
        <w:tab/>
      </w:r>
      <w:r w:rsidRPr="00670E77">
        <w:rPr>
          <w:noProof/>
          <w:lang w:val="en-US"/>
        </w:rPr>
        <w:t>Approach</w:t>
      </w:r>
      <w:r>
        <w:rPr>
          <w:noProof/>
        </w:rPr>
        <w:tab/>
      </w:r>
      <w:r>
        <w:rPr>
          <w:noProof/>
        </w:rPr>
        <w:fldChar w:fldCharType="begin"/>
      </w:r>
      <w:r>
        <w:rPr>
          <w:noProof/>
        </w:rPr>
        <w:instrText xml:space="preserve"> PAGEREF _Toc504464720 \h </w:instrText>
      </w:r>
      <w:r>
        <w:rPr>
          <w:noProof/>
        </w:rPr>
      </w:r>
      <w:r>
        <w:rPr>
          <w:noProof/>
        </w:rPr>
        <w:fldChar w:fldCharType="separate"/>
      </w:r>
      <w:r>
        <w:rPr>
          <w:noProof/>
        </w:rPr>
        <w:t>3-16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3.1</w:t>
      </w:r>
      <w:r>
        <w:rPr>
          <w:rFonts w:eastAsiaTheme="minorEastAsia"/>
          <w:noProof/>
          <w:kern w:val="0"/>
          <w:sz w:val="22"/>
          <w:szCs w:val="22"/>
          <w:lang w:eastAsia="en-GB"/>
        </w:rPr>
        <w:tab/>
      </w:r>
      <w:r w:rsidRPr="00670E77">
        <w:rPr>
          <w:noProof/>
          <w:lang w:val="en-US"/>
        </w:rPr>
        <w:t>Research questions</w:t>
      </w:r>
      <w:r>
        <w:rPr>
          <w:noProof/>
        </w:rPr>
        <w:tab/>
      </w:r>
      <w:r>
        <w:rPr>
          <w:noProof/>
        </w:rPr>
        <w:fldChar w:fldCharType="begin"/>
      </w:r>
      <w:r>
        <w:rPr>
          <w:noProof/>
        </w:rPr>
        <w:instrText xml:space="preserve"> PAGEREF _Toc504464721 \h </w:instrText>
      </w:r>
      <w:r>
        <w:rPr>
          <w:noProof/>
        </w:rPr>
      </w:r>
      <w:r>
        <w:rPr>
          <w:noProof/>
        </w:rPr>
        <w:fldChar w:fldCharType="separate"/>
      </w:r>
      <w:r>
        <w:rPr>
          <w:noProof/>
        </w:rPr>
        <w:t>3-16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rFonts w:eastAsia="Times New Roman" w:cs="Times New Roman"/>
          <w:noProof/>
        </w:rPr>
        <w:t>3.2</w:t>
      </w:r>
      <w:r>
        <w:rPr>
          <w:rFonts w:eastAsiaTheme="minorEastAsia"/>
          <w:noProof/>
          <w:kern w:val="0"/>
          <w:sz w:val="22"/>
          <w:szCs w:val="22"/>
          <w:lang w:eastAsia="en-GB"/>
        </w:rPr>
        <w:tab/>
      </w:r>
      <w:r w:rsidRPr="00670E77">
        <w:rPr>
          <w:rFonts w:eastAsia="Times New Roman"/>
          <w:noProof/>
        </w:rPr>
        <w:t>Tenure</w:t>
      </w:r>
      <w:r>
        <w:rPr>
          <w:noProof/>
        </w:rPr>
        <w:tab/>
      </w:r>
      <w:r>
        <w:rPr>
          <w:noProof/>
        </w:rPr>
        <w:fldChar w:fldCharType="begin"/>
      </w:r>
      <w:r>
        <w:rPr>
          <w:noProof/>
        </w:rPr>
        <w:instrText xml:space="preserve"> PAGEREF _Toc504464722 \h </w:instrText>
      </w:r>
      <w:r>
        <w:rPr>
          <w:noProof/>
        </w:rPr>
      </w:r>
      <w:r>
        <w:rPr>
          <w:noProof/>
        </w:rPr>
        <w:fldChar w:fldCharType="separate"/>
      </w:r>
      <w:r>
        <w:rPr>
          <w:noProof/>
        </w:rPr>
        <w:t>3-16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rFonts w:eastAsia="Times New Roman"/>
          <w:noProof/>
        </w:rPr>
        <w:t>3.3</w:t>
      </w:r>
      <w:r>
        <w:rPr>
          <w:rFonts w:eastAsiaTheme="minorEastAsia"/>
          <w:noProof/>
          <w:kern w:val="0"/>
          <w:sz w:val="22"/>
          <w:szCs w:val="22"/>
          <w:lang w:eastAsia="en-GB"/>
        </w:rPr>
        <w:tab/>
      </w:r>
      <w:r w:rsidRPr="00670E77">
        <w:rPr>
          <w:rFonts w:eastAsia="Times New Roman"/>
          <w:noProof/>
        </w:rPr>
        <w:t>Type and size</w:t>
      </w:r>
      <w:r>
        <w:rPr>
          <w:noProof/>
        </w:rPr>
        <w:tab/>
      </w:r>
      <w:r>
        <w:rPr>
          <w:noProof/>
        </w:rPr>
        <w:fldChar w:fldCharType="begin"/>
      </w:r>
      <w:r>
        <w:rPr>
          <w:noProof/>
        </w:rPr>
        <w:instrText xml:space="preserve"> PAGEREF _Toc504464723 \h </w:instrText>
      </w:r>
      <w:r>
        <w:rPr>
          <w:noProof/>
        </w:rPr>
      </w:r>
      <w:r>
        <w:rPr>
          <w:noProof/>
        </w:rPr>
        <w:fldChar w:fldCharType="separate"/>
      </w:r>
      <w:r>
        <w:rPr>
          <w:noProof/>
        </w:rPr>
        <w:t>3-17</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rFonts w:eastAsia="Times New Roman" w:cs="Times New Roman"/>
          <w:noProof/>
        </w:rPr>
        <w:t>3.4</w:t>
      </w:r>
      <w:r>
        <w:rPr>
          <w:rFonts w:eastAsiaTheme="minorEastAsia"/>
          <w:noProof/>
          <w:kern w:val="0"/>
          <w:sz w:val="22"/>
          <w:szCs w:val="22"/>
          <w:lang w:eastAsia="en-GB"/>
        </w:rPr>
        <w:tab/>
      </w:r>
      <w:r w:rsidRPr="00670E77">
        <w:rPr>
          <w:rFonts w:eastAsia="Times New Roman"/>
          <w:noProof/>
        </w:rPr>
        <w:t>Housing for specialist groups</w:t>
      </w:r>
      <w:r>
        <w:rPr>
          <w:noProof/>
        </w:rPr>
        <w:tab/>
      </w:r>
      <w:r>
        <w:rPr>
          <w:noProof/>
        </w:rPr>
        <w:fldChar w:fldCharType="begin"/>
      </w:r>
      <w:r>
        <w:rPr>
          <w:noProof/>
        </w:rPr>
        <w:instrText xml:space="preserve"> PAGEREF _Toc504464724 \h </w:instrText>
      </w:r>
      <w:r>
        <w:rPr>
          <w:noProof/>
        </w:rPr>
      </w:r>
      <w:r>
        <w:rPr>
          <w:noProof/>
        </w:rPr>
        <w:fldChar w:fldCharType="separate"/>
      </w:r>
      <w:r>
        <w:rPr>
          <w:noProof/>
        </w:rPr>
        <w:t>3-17</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3.5</w:t>
      </w:r>
      <w:r>
        <w:rPr>
          <w:rFonts w:eastAsiaTheme="minorEastAsia"/>
          <w:noProof/>
          <w:kern w:val="0"/>
          <w:sz w:val="22"/>
          <w:szCs w:val="22"/>
          <w:lang w:eastAsia="en-GB"/>
        </w:rPr>
        <w:tab/>
      </w:r>
      <w:r w:rsidRPr="00670E77">
        <w:rPr>
          <w:noProof/>
          <w:lang w:val="en-US"/>
        </w:rPr>
        <w:t>Study objectives</w:t>
      </w:r>
      <w:r>
        <w:rPr>
          <w:noProof/>
        </w:rPr>
        <w:tab/>
      </w:r>
      <w:r>
        <w:rPr>
          <w:noProof/>
        </w:rPr>
        <w:fldChar w:fldCharType="begin"/>
      </w:r>
      <w:r>
        <w:rPr>
          <w:noProof/>
        </w:rPr>
        <w:instrText xml:space="preserve"> PAGEREF _Toc504464725 \h </w:instrText>
      </w:r>
      <w:r>
        <w:rPr>
          <w:noProof/>
        </w:rPr>
      </w:r>
      <w:r>
        <w:rPr>
          <w:noProof/>
        </w:rPr>
        <w:fldChar w:fldCharType="separate"/>
      </w:r>
      <w:r>
        <w:rPr>
          <w:noProof/>
        </w:rPr>
        <w:t>3-17</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4.</w:t>
      </w:r>
      <w:r>
        <w:rPr>
          <w:rFonts w:asciiTheme="minorHAnsi" w:eastAsiaTheme="minorEastAsia" w:hAnsiTheme="minorHAnsi"/>
          <w:noProof/>
          <w:kern w:val="0"/>
          <w:sz w:val="22"/>
          <w:szCs w:val="22"/>
          <w:lang w:eastAsia="en-GB"/>
        </w:rPr>
        <w:tab/>
      </w:r>
      <w:r w:rsidRPr="00670E77">
        <w:rPr>
          <w:noProof/>
          <w:lang w:val="en-US"/>
        </w:rPr>
        <w:t>1. Relevant Data</w:t>
      </w:r>
      <w:r>
        <w:rPr>
          <w:noProof/>
        </w:rPr>
        <w:tab/>
      </w:r>
      <w:r>
        <w:rPr>
          <w:noProof/>
        </w:rPr>
        <w:fldChar w:fldCharType="begin"/>
      </w:r>
      <w:r>
        <w:rPr>
          <w:noProof/>
        </w:rPr>
        <w:instrText xml:space="preserve"> PAGEREF _Toc504464726 \h </w:instrText>
      </w:r>
      <w:r>
        <w:rPr>
          <w:noProof/>
        </w:rPr>
      </w:r>
      <w:r>
        <w:rPr>
          <w:noProof/>
        </w:rPr>
        <w:fldChar w:fldCharType="separate"/>
      </w:r>
      <w:r>
        <w:rPr>
          <w:noProof/>
        </w:rPr>
        <w:t>4-17</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4.1</w:t>
      </w:r>
      <w:r>
        <w:rPr>
          <w:rFonts w:eastAsiaTheme="minorEastAsia"/>
          <w:noProof/>
          <w:kern w:val="0"/>
          <w:sz w:val="22"/>
          <w:szCs w:val="22"/>
          <w:lang w:eastAsia="en-GB"/>
        </w:rPr>
        <w:tab/>
      </w:r>
      <w:r w:rsidRPr="00670E77">
        <w:rPr>
          <w:noProof/>
          <w:lang w:val="en-US"/>
        </w:rPr>
        <w:t>SHMA</w:t>
      </w:r>
      <w:r>
        <w:rPr>
          <w:noProof/>
        </w:rPr>
        <w:tab/>
      </w:r>
      <w:r>
        <w:rPr>
          <w:noProof/>
        </w:rPr>
        <w:fldChar w:fldCharType="begin"/>
      </w:r>
      <w:r>
        <w:rPr>
          <w:noProof/>
        </w:rPr>
        <w:instrText xml:space="preserve"> PAGEREF _Toc504464727 \h </w:instrText>
      </w:r>
      <w:r>
        <w:rPr>
          <w:noProof/>
        </w:rPr>
      </w:r>
      <w:r>
        <w:rPr>
          <w:noProof/>
        </w:rPr>
        <w:fldChar w:fldCharType="separate"/>
      </w:r>
      <w:r>
        <w:rPr>
          <w:noProof/>
        </w:rPr>
        <w:t>4-17</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Pr>
          <w:noProof/>
        </w:rPr>
        <w:t>5.</w:t>
      </w:r>
      <w:r>
        <w:rPr>
          <w:rFonts w:asciiTheme="minorHAnsi" w:eastAsiaTheme="minorEastAsia" w:hAnsiTheme="minorHAnsi"/>
          <w:noProof/>
          <w:kern w:val="0"/>
          <w:sz w:val="22"/>
          <w:szCs w:val="22"/>
          <w:lang w:eastAsia="en-GB"/>
        </w:rPr>
        <w:tab/>
      </w:r>
      <w:r>
        <w:rPr>
          <w:noProof/>
        </w:rPr>
        <w:t>RQ1. What quantity of housing is appropriate for the NPA?</w:t>
      </w:r>
      <w:r>
        <w:rPr>
          <w:noProof/>
        </w:rPr>
        <w:tab/>
      </w:r>
      <w:r>
        <w:rPr>
          <w:noProof/>
        </w:rPr>
        <w:fldChar w:fldCharType="begin"/>
      </w:r>
      <w:r>
        <w:rPr>
          <w:noProof/>
        </w:rPr>
        <w:instrText xml:space="preserve"> PAGEREF _Toc504464728 \h </w:instrText>
      </w:r>
      <w:r>
        <w:rPr>
          <w:noProof/>
        </w:rPr>
      </w:r>
      <w:r>
        <w:rPr>
          <w:noProof/>
        </w:rPr>
        <w:fldChar w:fldCharType="separate"/>
      </w:r>
      <w:r>
        <w:rPr>
          <w:noProof/>
        </w:rPr>
        <w:t>5-19</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5.1</w:t>
      </w:r>
      <w:r>
        <w:rPr>
          <w:rFonts w:eastAsiaTheme="minorEastAsia"/>
          <w:noProof/>
          <w:kern w:val="0"/>
          <w:sz w:val="22"/>
          <w:szCs w:val="22"/>
          <w:lang w:eastAsia="en-GB"/>
        </w:rPr>
        <w:tab/>
      </w:r>
      <w:r>
        <w:rPr>
          <w:noProof/>
        </w:rPr>
        <w:t>Chichester Local Plan (2014-2023)</w:t>
      </w:r>
      <w:r>
        <w:rPr>
          <w:noProof/>
        </w:rPr>
        <w:tab/>
      </w:r>
      <w:r>
        <w:rPr>
          <w:noProof/>
        </w:rPr>
        <w:fldChar w:fldCharType="begin"/>
      </w:r>
      <w:r>
        <w:rPr>
          <w:noProof/>
        </w:rPr>
        <w:instrText xml:space="preserve"> PAGEREF _Toc504464729 \h </w:instrText>
      </w:r>
      <w:r>
        <w:rPr>
          <w:noProof/>
        </w:rPr>
      </w:r>
      <w:r>
        <w:rPr>
          <w:noProof/>
        </w:rPr>
        <w:fldChar w:fldCharType="separate"/>
      </w:r>
      <w:r>
        <w:rPr>
          <w:noProof/>
        </w:rPr>
        <w:t>5-19</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5.2</w:t>
      </w:r>
      <w:r>
        <w:rPr>
          <w:rFonts w:eastAsiaTheme="minorEastAsia"/>
          <w:noProof/>
          <w:kern w:val="0"/>
          <w:sz w:val="22"/>
          <w:szCs w:val="22"/>
          <w:lang w:eastAsia="en-GB"/>
        </w:rPr>
        <w:tab/>
      </w:r>
      <w:r>
        <w:rPr>
          <w:noProof/>
        </w:rPr>
        <w:t>SHMA studies</w:t>
      </w:r>
      <w:r>
        <w:rPr>
          <w:noProof/>
        </w:rPr>
        <w:tab/>
      </w:r>
      <w:r>
        <w:rPr>
          <w:noProof/>
        </w:rPr>
        <w:fldChar w:fldCharType="begin"/>
      </w:r>
      <w:r>
        <w:rPr>
          <w:noProof/>
        </w:rPr>
        <w:instrText xml:space="preserve"> PAGEREF _Toc504464730 \h </w:instrText>
      </w:r>
      <w:r>
        <w:rPr>
          <w:noProof/>
        </w:rPr>
      </w:r>
      <w:r>
        <w:rPr>
          <w:noProof/>
        </w:rPr>
        <w:fldChar w:fldCharType="separate"/>
      </w:r>
      <w:r>
        <w:rPr>
          <w:noProof/>
        </w:rPr>
        <w:t>5-19</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5.3</w:t>
      </w:r>
      <w:r>
        <w:rPr>
          <w:rFonts w:eastAsiaTheme="minorEastAsia"/>
          <w:noProof/>
          <w:kern w:val="0"/>
          <w:sz w:val="22"/>
          <w:szCs w:val="22"/>
          <w:lang w:eastAsia="en-GB"/>
        </w:rPr>
        <w:tab/>
      </w:r>
      <w:r>
        <w:rPr>
          <w:noProof/>
        </w:rPr>
        <w:t>MHCLG household projections</w:t>
      </w:r>
      <w:r>
        <w:rPr>
          <w:noProof/>
        </w:rPr>
        <w:tab/>
      </w:r>
      <w:r>
        <w:rPr>
          <w:noProof/>
        </w:rPr>
        <w:fldChar w:fldCharType="begin"/>
      </w:r>
      <w:r>
        <w:rPr>
          <w:noProof/>
        </w:rPr>
        <w:instrText xml:space="preserve"> PAGEREF _Toc504464731 \h </w:instrText>
      </w:r>
      <w:r>
        <w:rPr>
          <w:noProof/>
        </w:rPr>
      </w:r>
      <w:r>
        <w:rPr>
          <w:noProof/>
        </w:rPr>
        <w:fldChar w:fldCharType="separate"/>
      </w:r>
      <w:r>
        <w:rPr>
          <w:noProof/>
        </w:rPr>
        <w:t>5-20</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5.4</w:t>
      </w:r>
      <w:r>
        <w:rPr>
          <w:rFonts w:eastAsiaTheme="minorEastAsia"/>
          <w:noProof/>
          <w:kern w:val="0"/>
          <w:sz w:val="22"/>
          <w:szCs w:val="22"/>
          <w:lang w:eastAsia="en-GB"/>
        </w:rPr>
        <w:tab/>
      </w:r>
      <w:r>
        <w:rPr>
          <w:noProof/>
        </w:rPr>
        <w:t>Dwelling growth 2001 – 2011</w:t>
      </w:r>
      <w:r>
        <w:rPr>
          <w:noProof/>
        </w:rPr>
        <w:tab/>
      </w:r>
      <w:r>
        <w:rPr>
          <w:noProof/>
        </w:rPr>
        <w:fldChar w:fldCharType="begin"/>
      </w:r>
      <w:r>
        <w:rPr>
          <w:noProof/>
        </w:rPr>
        <w:instrText xml:space="preserve"> PAGEREF _Toc504464732 \h </w:instrText>
      </w:r>
      <w:r>
        <w:rPr>
          <w:noProof/>
        </w:rPr>
      </w:r>
      <w:r>
        <w:rPr>
          <w:noProof/>
        </w:rPr>
        <w:fldChar w:fldCharType="separate"/>
      </w:r>
      <w:r>
        <w:rPr>
          <w:noProof/>
        </w:rPr>
        <w:t>5-21</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5.5</w:t>
      </w:r>
      <w:r>
        <w:rPr>
          <w:rFonts w:eastAsiaTheme="minorEastAsia"/>
          <w:noProof/>
          <w:kern w:val="0"/>
          <w:sz w:val="22"/>
          <w:szCs w:val="22"/>
          <w:lang w:eastAsia="en-GB"/>
        </w:rPr>
        <w:tab/>
      </w:r>
      <w:r>
        <w:rPr>
          <w:noProof/>
        </w:rPr>
        <w:t>Dwelling growth since 2011</w:t>
      </w:r>
      <w:r>
        <w:rPr>
          <w:noProof/>
        </w:rPr>
        <w:tab/>
      </w:r>
      <w:r>
        <w:rPr>
          <w:noProof/>
        </w:rPr>
        <w:fldChar w:fldCharType="begin"/>
      </w:r>
      <w:r>
        <w:rPr>
          <w:noProof/>
        </w:rPr>
        <w:instrText xml:space="preserve"> PAGEREF _Toc504464733 \h </w:instrText>
      </w:r>
      <w:r>
        <w:rPr>
          <w:noProof/>
        </w:rPr>
      </w:r>
      <w:r>
        <w:rPr>
          <w:noProof/>
        </w:rPr>
        <w:fldChar w:fldCharType="separate"/>
      </w:r>
      <w:r>
        <w:rPr>
          <w:noProof/>
        </w:rPr>
        <w:t>5-21</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rFonts w:eastAsia="Times New Roman"/>
          <w:noProof/>
          <w:lang w:val="en-US"/>
        </w:rPr>
        <w:t>5.6</w:t>
      </w:r>
      <w:r>
        <w:rPr>
          <w:rFonts w:eastAsiaTheme="minorEastAsia"/>
          <w:noProof/>
          <w:kern w:val="0"/>
          <w:sz w:val="22"/>
          <w:szCs w:val="22"/>
          <w:lang w:eastAsia="en-GB"/>
        </w:rPr>
        <w:tab/>
      </w:r>
      <w:r w:rsidRPr="00670E77">
        <w:rPr>
          <w:rFonts w:eastAsia="Times New Roman"/>
          <w:noProof/>
          <w:lang w:val="en-US"/>
        </w:rPr>
        <w:t>Dwelling growth 2001-2017</w:t>
      </w:r>
      <w:r>
        <w:rPr>
          <w:noProof/>
        </w:rPr>
        <w:tab/>
      </w:r>
      <w:r>
        <w:rPr>
          <w:noProof/>
        </w:rPr>
        <w:fldChar w:fldCharType="begin"/>
      </w:r>
      <w:r>
        <w:rPr>
          <w:noProof/>
        </w:rPr>
        <w:instrText xml:space="preserve"> PAGEREF _Toc504464734 \h </w:instrText>
      </w:r>
      <w:r>
        <w:rPr>
          <w:noProof/>
        </w:rPr>
      </w:r>
      <w:r>
        <w:rPr>
          <w:noProof/>
        </w:rPr>
        <w:fldChar w:fldCharType="separate"/>
      </w:r>
      <w:r>
        <w:rPr>
          <w:noProof/>
        </w:rPr>
        <w:t>5-21</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5.7</w:t>
      </w:r>
      <w:r>
        <w:rPr>
          <w:rFonts w:eastAsiaTheme="minorEastAsia"/>
          <w:noProof/>
          <w:kern w:val="0"/>
          <w:sz w:val="22"/>
          <w:szCs w:val="22"/>
          <w:lang w:eastAsia="en-GB"/>
        </w:rPr>
        <w:tab/>
      </w:r>
      <w:r>
        <w:rPr>
          <w:noProof/>
        </w:rPr>
        <w:t>The standard methodology</w:t>
      </w:r>
      <w:r>
        <w:rPr>
          <w:noProof/>
        </w:rPr>
        <w:tab/>
      </w:r>
      <w:r>
        <w:rPr>
          <w:noProof/>
        </w:rPr>
        <w:fldChar w:fldCharType="begin"/>
      </w:r>
      <w:r>
        <w:rPr>
          <w:noProof/>
        </w:rPr>
        <w:instrText xml:space="preserve"> PAGEREF _Toc504464735 \h </w:instrText>
      </w:r>
      <w:r>
        <w:rPr>
          <w:noProof/>
        </w:rPr>
      </w:r>
      <w:r>
        <w:rPr>
          <w:noProof/>
        </w:rPr>
        <w:fldChar w:fldCharType="separate"/>
      </w:r>
      <w:r>
        <w:rPr>
          <w:noProof/>
        </w:rPr>
        <w:t>5-21</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Pr>
          <w:noProof/>
        </w:rPr>
        <w:t>6.</w:t>
      </w:r>
      <w:r>
        <w:rPr>
          <w:rFonts w:asciiTheme="minorHAnsi" w:eastAsiaTheme="minorEastAsia" w:hAnsiTheme="minorHAnsi"/>
          <w:noProof/>
          <w:kern w:val="0"/>
          <w:sz w:val="22"/>
          <w:szCs w:val="22"/>
          <w:lang w:eastAsia="en-GB"/>
        </w:rPr>
        <w:tab/>
      </w:r>
      <w:r>
        <w:rPr>
          <w:noProof/>
        </w:rPr>
        <w:t xml:space="preserve">RQ2. What </w:t>
      </w:r>
      <w:r w:rsidRPr="00670E77">
        <w:rPr>
          <w:noProof/>
          <w:u w:val="single"/>
        </w:rPr>
        <w:t xml:space="preserve">affordable housing </w:t>
      </w:r>
      <w:r>
        <w:rPr>
          <w:noProof/>
        </w:rPr>
        <w:t xml:space="preserve">(social housing, affordable rented, shared ownership, intermediate rented) and </w:t>
      </w:r>
      <w:r w:rsidRPr="00670E77">
        <w:rPr>
          <w:noProof/>
          <w:u w:val="single"/>
        </w:rPr>
        <w:t>market housing tenures</w:t>
      </w:r>
      <w:r>
        <w:rPr>
          <w:noProof/>
        </w:rPr>
        <w:t xml:space="preserve"> should be included in the housing mix?</w:t>
      </w:r>
      <w:r>
        <w:rPr>
          <w:noProof/>
        </w:rPr>
        <w:tab/>
      </w:r>
      <w:r>
        <w:rPr>
          <w:noProof/>
        </w:rPr>
        <w:fldChar w:fldCharType="begin"/>
      </w:r>
      <w:r>
        <w:rPr>
          <w:noProof/>
        </w:rPr>
        <w:instrText xml:space="preserve"> PAGEREF _Toc504464736 \h </w:instrText>
      </w:r>
      <w:r>
        <w:rPr>
          <w:noProof/>
        </w:rPr>
      </w:r>
      <w:r>
        <w:rPr>
          <w:noProof/>
        </w:rPr>
        <w:fldChar w:fldCharType="separate"/>
      </w:r>
      <w:r>
        <w:rPr>
          <w:noProof/>
        </w:rPr>
        <w:t>6-23</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6.1</w:t>
      </w:r>
      <w:r>
        <w:rPr>
          <w:rFonts w:eastAsiaTheme="minorEastAsia"/>
          <w:noProof/>
          <w:kern w:val="0"/>
          <w:sz w:val="22"/>
          <w:szCs w:val="22"/>
          <w:lang w:eastAsia="en-GB"/>
        </w:rPr>
        <w:tab/>
      </w:r>
      <w:r>
        <w:rPr>
          <w:noProof/>
        </w:rPr>
        <w:t>Definitional issues</w:t>
      </w:r>
      <w:r>
        <w:rPr>
          <w:noProof/>
        </w:rPr>
        <w:tab/>
      </w:r>
      <w:r>
        <w:rPr>
          <w:noProof/>
        </w:rPr>
        <w:fldChar w:fldCharType="begin"/>
      </w:r>
      <w:r>
        <w:rPr>
          <w:noProof/>
        </w:rPr>
        <w:instrText xml:space="preserve"> PAGEREF _Toc504464737 \h </w:instrText>
      </w:r>
      <w:r>
        <w:rPr>
          <w:noProof/>
        </w:rPr>
      </w:r>
      <w:r>
        <w:rPr>
          <w:noProof/>
        </w:rPr>
        <w:fldChar w:fldCharType="separate"/>
      </w:r>
      <w:r>
        <w:rPr>
          <w:noProof/>
        </w:rPr>
        <w:t>6-23</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6.2</w:t>
      </w:r>
      <w:r>
        <w:rPr>
          <w:rFonts w:eastAsiaTheme="minorEastAsia"/>
          <w:noProof/>
          <w:kern w:val="0"/>
          <w:sz w:val="22"/>
          <w:szCs w:val="22"/>
          <w:lang w:eastAsia="en-GB"/>
        </w:rPr>
        <w:tab/>
      </w:r>
      <w:r>
        <w:rPr>
          <w:noProof/>
        </w:rPr>
        <w:t>Current tenure profile</w:t>
      </w:r>
      <w:r>
        <w:rPr>
          <w:noProof/>
        </w:rPr>
        <w:tab/>
      </w:r>
      <w:r>
        <w:rPr>
          <w:noProof/>
        </w:rPr>
        <w:fldChar w:fldCharType="begin"/>
      </w:r>
      <w:r>
        <w:rPr>
          <w:noProof/>
        </w:rPr>
        <w:instrText xml:space="preserve"> PAGEREF _Toc504464738 \h </w:instrText>
      </w:r>
      <w:r>
        <w:rPr>
          <w:noProof/>
        </w:rPr>
      </w:r>
      <w:r>
        <w:rPr>
          <w:noProof/>
        </w:rPr>
        <w:fldChar w:fldCharType="separate"/>
      </w:r>
      <w:r>
        <w:rPr>
          <w:noProof/>
        </w:rPr>
        <w:t>6-24</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6.3</w:t>
      </w:r>
      <w:r>
        <w:rPr>
          <w:rFonts w:eastAsiaTheme="minorEastAsia"/>
          <w:noProof/>
          <w:kern w:val="0"/>
          <w:sz w:val="22"/>
          <w:szCs w:val="22"/>
          <w:lang w:eastAsia="en-GB"/>
        </w:rPr>
        <w:tab/>
      </w:r>
      <w:r w:rsidRPr="00670E77">
        <w:rPr>
          <w:noProof/>
          <w:lang w:val="en-US"/>
        </w:rPr>
        <w:t>Age structure</w:t>
      </w:r>
      <w:r>
        <w:rPr>
          <w:noProof/>
        </w:rPr>
        <w:tab/>
      </w:r>
      <w:r>
        <w:rPr>
          <w:noProof/>
        </w:rPr>
        <w:fldChar w:fldCharType="begin"/>
      </w:r>
      <w:r>
        <w:rPr>
          <w:noProof/>
        </w:rPr>
        <w:instrText xml:space="preserve"> PAGEREF _Toc504464739 \h </w:instrText>
      </w:r>
      <w:r>
        <w:rPr>
          <w:noProof/>
        </w:rPr>
      </w:r>
      <w:r>
        <w:rPr>
          <w:noProof/>
        </w:rPr>
        <w:fldChar w:fldCharType="separate"/>
      </w:r>
      <w:r>
        <w:rPr>
          <w:noProof/>
        </w:rPr>
        <w:t>6-25</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6.4</w:t>
      </w:r>
      <w:r>
        <w:rPr>
          <w:rFonts w:eastAsiaTheme="minorEastAsia"/>
          <w:noProof/>
          <w:kern w:val="0"/>
          <w:sz w:val="22"/>
          <w:szCs w:val="22"/>
          <w:lang w:eastAsia="en-GB"/>
        </w:rPr>
        <w:tab/>
      </w:r>
      <w:r w:rsidRPr="00670E77">
        <w:rPr>
          <w:noProof/>
          <w:lang w:val="en-US"/>
        </w:rPr>
        <w:t>Household composition</w:t>
      </w:r>
      <w:r>
        <w:rPr>
          <w:noProof/>
        </w:rPr>
        <w:tab/>
      </w:r>
      <w:r>
        <w:rPr>
          <w:noProof/>
        </w:rPr>
        <w:fldChar w:fldCharType="begin"/>
      </w:r>
      <w:r>
        <w:rPr>
          <w:noProof/>
        </w:rPr>
        <w:instrText xml:space="preserve"> PAGEREF _Toc504464740 \h </w:instrText>
      </w:r>
      <w:r>
        <w:rPr>
          <w:noProof/>
        </w:rPr>
      </w:r>
      <w:r>
        <w:rPr>
          <w:noProof/>
        </w:rPr>
        <w:fldChar w:fldCharType="separate"/>
      </w:r>
      <w:r>
        <w:rPr>
          <w:noProof/>
        </w:rPr>
        <w:t>6-26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6.5</w:t>
      </w:r>
      <w:r>
        <w:rPr>
          <w:rFonts w:eastAsiaTheme="minorEastAsia"/>
          <w:noProof/>
          <w:kern w:val="0"/>
          <w:sz w:val="22"/>
          <w:szCs w:val="22"/>
          <w:lang w:eastAsia="en-GB"/>
        </w:rPr>
        <w:tab/>
      </w:r>
      <w:r w:rsidRPr="00670E77">
        <w:rPr>
          <w:noProof/>
          <w:lang w:val="en-US"/>
        </w:rPr>
        <w:t>Affordability</w:t>
      </w:r>
      <w:r>
        <w:rPr>
          <w:noProof/>
        </w:rPr>
        <w:tab/>
      </w:r>
      <w:r>
        <w:rPr>
          <w:noProof/>
        </w:rPr>
        <w:fldChar w:fldCharType="begin"/>
      </w:r>
      <w:r>
        <w:rPr>
          <w:noProof/>
        </w:rPr>
        <w:instrText xml:space="preserve"> PAGEREF _Toc504464741 \h </w:instrText>
      </w:r>
      <w:r>
        <w:rPr>
          <w:noProof/>
        </w:rPr>
      </w:r>
      <w:r>
        <w:rPr>
          <w:noProof/>
        </w:rPr>
        <w:fldChar w:fldCharType="separate"/>
      </w:r>
      <w:r>
        <w:rPr>
          <w:noProof/>
        </w:rPr>
        <w:t>6-27</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6.6</w:t>
      </w:r>
      <w:r>
        <w:rPr>
          <w:rFonts w:eastAsiaTheme="minorEastAsia"/>
          <w:noProof/>
          <w:kern w:val="0"/>
          <w:sz w:val="22"/>
          <w:szCs w:val="22"/>
          <w:lang w:eastAsia="en-GB"/>
        </w:rPr>
        <w:tab/>
      </w:r>
      <w:r w:rsidRPr="00670E77">
        <w:rPr>
          <w:noProof/>
          <w:lang w:val="en-US"/>
        </w:rPr>
        <w:t>Housing waiting list</w:t>
      </w:r>
      <w:r>
        <w:rPr>
          <w:noProof/>
        </w:rPr>
        <w:tab/>
      </w:r>
      <w:r>
        <w:rPr>
          <w:noProof/>
        </w:rPr>
        <w:fldChar w:fldCharType="begin"/>
      </w:r>
      <w:r>
        <w:rPr>
          <w:noProof/>
        </w:rPr>
        <w:instrText xml:space="preserve"> PAGEREF _Toc504464742 \h </w:instrText>
      </w:r>
      <w:r>
        <w:rPr>
          <w:noProof/>
        </w:rPr>
      </w:r>
      <w:r>
        <w:rPr>
          <w:noProof/>
        </w:rPr>
        <w:fldChar w:fldCharType="separate"/>
      </w:r>
      <w:r>
        <w:rPr>
          <w:noProof/>
        </w:rPr>
        <w:t>6-31</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6.7</w:t>
      </w:r>
      <w:r>
        <w:rPr>
          <w:rFonts w:eastAsiaTheme="minorEastAsia"/>
          <w:noProof/>
          <w:kern w:val="0"/>
          <w:sz w:val="22"/>
          <w:szCs w:val="22"/>
          <w:lang w:eastAsia="en-GB"/>
        </w:rPr>
        <w:tab/>
      </w:r>
      <w:r w:rsidRPr="00670E77">
        <w:rPr>
          <w:noProof/>
          <w:lang w:val="en-US"/>
        </w:rPr>
        <w:t>Conclusions</w:t>
      </w:r>
      <w:r>
        <w:rPr>
          <w:noProof/>
        </w:rPr>
        <w:tab/>
      </w:r>
      <w:r>
        <w:rPr>
          <w:noProof/>
        </w:rPr>
        <w:fldChar w:fldCharType="begin"/>
      </w:r>
      <w:r>
        <w:rPr>
          <w:noProof/>
        </w:rPr>
        <w:instrText xml:space="preserve"> PAGEREF _Toc504464743 \h </w:instrText>
      </w:r>
      <w:r>
        <w:rPr>
          <w:noProof/>
        </w:rPr>
      </w:r>
      <w:r>
        <w:rPr>
          <w:noProof/>
        </w:rPr>
        <w:fldChar w:fldCharType="separate"/>
      </w:r>
      <w:r>
        <w:rPr>
          <w:noProof/>
        </w:rPr>
        <w:t>6-32</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7.</w:t>
      </w:r>
      <w:r>
        <w:rPr>
          <w:rFonts w:asciiTheme="minorHAnsi" w:eastAsiaTheme="minorEastAsia" w:hAnsiTheme="minorHAnsi"/>
          <w:noProof/>
          <w:kern w:val="0"/>
          <w:sz w:val="22"/>
          <w:szCs w:val="22"/>
          <w:lang w:eastAsia="en-GB"/>
        </w:rPr>
        <w:tab/>
      </w:r>
      <w:r w:rsidRPr="00670E77">
        <w:rPr>
          <w:noProof/>
          <w:lang w:val="en-US"/>
        </w:rPr>
        <w:t>RQ3. What type (terrace, semi, bungalows, flats and detached) and size (number of habitable rooms) of housing is appropriate?</w:t>
      </w:r>
      <w:r>
        <w:rPr>
          <w:noProof/>
        </w:rPr>
        <w:tab/>
      </w:r>
      <w:r>
        <w:rPr>
          <w:noProof/>
        </w:rPr>
        <w:fldChar w:fldCharType="begin"/>
      </w:r>
      <w:r>
        <w:rPr>
          <w:noProof/>
        </w:rPr>
        <w:instrText xml:space="preserve"> PAGEREF _Toc504464744 \h </w:instrText>
      </w:r>
      <w:r>
        <w:rPr>
          <w:noProof/>
        </w:rPr>
      </w:r>
      <w:r>
        <w:rPr>
          <w:noProof/>
        </w:rPr>
        <w:fldChar w:fldCharType="separate"/>
      </w:r>
      <w:r>
        <w:rPr>
          <w:noProof/>
        </w:rPr>
        <w:t>7-37</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8.</w:t>
      </w:r>
      <w:r>
        <w:rPr>
          <w:rFonts w:asciiTheme="minorHAnsi" w:eastAsiaTheme="minorEastAsia" w:hAnsiTheme="minorHAnsi"/>
          <w:noProof/>
          <w:kern w:val="0"/>
          <w:sz w:val="22"/>
          <w:szCs w:val="22"/>
          <w:lang w:eastAsia="en-GB"/>
        </w:rPr>
        <w:tab/>
      </w:r>
      <w:r w:rsidRPr="00670E77">
        <w:rPr>
          <w:noProof/>
          <w:lang w:val="en-US"/>
        </w:rPr>
        <w:t>RQ4: What provision should be made for specialist housing within the NPA?</w:t>
      </w:r>
      <w:r>
        <w:rPr>
          <w:noProof/>
        </w:rPr>
        <w:tab/>
      </w:r>
      <w:r>
        <w:rPr>
          <w:noProof/>
        </w:rPr>
        <w:fldChar w:fldCharType="begin"/>
      </w:r>
      <w:r>
        <w:rPr>
          <w:noProof/>
        </w:rPr>
        <w:instrText xml:space="preserve"> PAGEREF _Toc504464745 \h </w:instrText>
      </w:r>
      <w:r>
        <w:rPr>
          <w:noProof/>
        </w:rPr>
      </w:r>
      <w:r>
        <w:rPr>
          <w:noProof/>
        </w:rPr>
        <w:fldChar w:fldCharType="separate"/>
      </w:r>
      <w:r>
        <w:rPr>
          <w:noProof/>
        </w:rPr>
        <w:t>8-41</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rFonts w:eastAsia="Calibri"/>
          <w:noProof/>
        </w:rPr>
        <w:t>8.1</w:t>
      </w:r>
      <w:r>
        <w:rPr>
          <w:rFonts w:eastAsiaTheme="minorEastAsia"/>
          <w:noProof/>
          <w:kern w:val="0"/>
          <w:sz w:val="22"/>
          <w:szCs w:val="22"/>
          <w:lang w:eastAsia="en-GB"/>
        </w:rPr>
        <w:tab/>
      </w:r>
      <w:r w:rsidRPr="00670E77">
        <w:rPr>
          <w:rFonts w:eastAsia="Calibri"/>
          <w:noProof/>
        </w:rPr>
        <w:t>Sheltered and extra-care housing</w:t>
      </w:r>
      <w:r>
        <w:rPr>
          <w:noProof/>
        </w:rPr>
        <w:tab/>
      </w:r>
      <w:r>
        <w:rPr>
          <w:noProof/>
        </w:rPr>
        <w:fldChar w:fldCharType="begin"/>
      </w:r>
      <w:r>
        <w:rPr>
          <w:noProof/>
        </w:rPr>
        <w:instrText xml:space="preserve"> PAGEREF _Toc504464746 \h </w:instrText>
      </w:r>
      <w:r>
        <w:rPr>
          <w:noProof/>
        </w:rPr>
      </w:r>
      <w:r>
        <w:rPr>
          <w:noProof/>
        </w:rPr>
        <w:fldChar w:fldCharType="separate"/>
      </w:r>
      <w:r>
        <w:rPr>
          <w:noProof/>
        </w:rPr>
        <w:t>8-41</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9.</w:t>
      </w:r>
      <w:r>
        <w:rPr>
          <w:rFonts w:asciiTheme="minorHAnsi" w:eastAsiaTheme="minorEastAsia" w:hAnsiTheme="minorHAnsi"/>
          <w:noProof/>
          <w:kern w:val="0"/>
          <w:sz w:val="22"/>
          <w:szCs w:val="22"/>
          <w:lang w:eastAsia="en-GB"/>
        </w:rPr>
        <w:tab/>
      </w:r>
      <w:r w:rsidRPr="00670E77">
        <w:rPr>
          <w:noProof/>
          <w:lang w:val="en-US"/>
        </w:rPr>
        <w:t>Market signals</w:t>
      </w:r>
      <w:r>
        <w:rPr>
          <w:noProof/>
        </w:rPr>
        <w:tab/>
      </w:r>
      <w:r>
        <w:rPr>
          <w:noProof/>
        </w:rPr>
        <w:fldChar w:fldCharType="begin"/>
      </w:r>
      <w:r>
        <w:rPr>
          <w:noProof/>
        </w:rPr>
        <w:instrText xml:space="preserve"> PAGEREF _Toc504464747 \h </w:instrText>
      </w:r>
      <w:r>
        <w:rPr>
          <w:noProof/>
        </w:rPr>
      </w:r>
      <w:r>
        <w:rPr>
          <w:noProof/>
        </w:rPr>
        <w:fldChar w:fldCharType="separate"/>
      </w:r>
      <w:r>
        <w:rPr>
          <w:noProof/>
        </w:rPr>
        <w:t>9-46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9.1</w:t>
      </w:r>
      <w:r>
        <w:rPr>
          <w:rFonts w:eastAsiaTheme="minorEastAsia"/>
          <w:noProof/>
          <w:kern w:val="0"/>
          <w:sz w:val="22"/>
          <w:szCs w:val="22"/>
          <w:lang w:eastAsia="en-GB"/>
        </w:rPr>
        <w:tab/>
      </w:r>
      <w:r w:rsidRPr="00670E77">
        <w:rPr>
          <w:noProof/>
          <w:lang w:val="en-US"/>
        </w:rPr>
        <w:t>Employment and commuting trends</w:t>
      </w:r>
      <w:r>
        <w:rPr>
          <w:noProof/>
        </w:rPr>
        <w:tab/>
      </w:r>
      <w:r>
        <w:rPr>
          <w:noProof/>
        </w:rPr>
        <w:fldChar w:fldCharType="begin"/>
      </w:r>
      <w:r>
        <w:rPr>
          <w:noProof/>
        </w:rPr>
        <w:instrText xml:space="preserve"> PAGEREF _Toc504464748 \h </w:instrText>
      </w:r>
      <w:r>
        <w:rPr>
          <w:noProof/>
        </w:rPr>
      </w:r>
      <w:r>
        <w:rPr>
          <w:noProof/>
        </w:rPr>
        <w:fldChar w:fldCharType="separate"/>
      </w:r>
      <w:r>
        <w:rPr>
          <w:noProof/>
        </w:rPr>
        <w:t>9-46</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9.2</w:t>
      </w:r>
      <w:r>
        <w:rPr>
          <w:rFonts w:eastAsiaTheme="minorEastAsia"/>
          <w:noProof/>
          <w:kern w:val="0"/>
          <w:sz w:val="22"/>
          <w:szCs w:val="22"/>
          <w:lang w:eastAsia="en-GB"/>
        </w:rPr>
        <w:tab/>
      </w:r>
      <w:r w:rsidRPr="00670E77">
        <w:rPr>
          <w:noProof/>
          <w:lang w:val="en-US"/>
        </w:rPr>
        <w:t>Housing transactions: prices</w:t>
      </w:r>
      <w:r>
        <w:rPr>
          <w:noProof/>
        </w:rPr>
        <w:tab/>
      </w:r>
      <w:r>
        <w:rPr>
          <w:noProof/>
        </w:rPr>
        <w:fldChar w:fldCharType="begin"/>
      </w:r>
      <w:r>
        <w:rPr>
          <w:noProof/>
        </w:rPr>
        <w:instrText xml:space="preserve"> PAGEREF _Toc504464749 \h </w:instrText>
      </w:r>
      <w:r>
        <w:rPr>
          <w:noProof/>
        </w:rPr>
      </w:r>
      <w:r>
        <w:rPr>
          <w:noProof/>
        </w:rPr>
        <w:fldChar w:fldCharType="separate"/>
      </w:r>
      <w:r>
        <w:rPr>
          <w:noProof/>
        </w:rPr>
        <w:t>9-48</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9.3</w:t>
      </w:r>
      <w:r>
        <w:rPr>
          <w:rFonts w:eastAsiaTheme="minorEastAsia"/>
          <w:noProof/>
          <w:kern w:val="0"/>
          <w:sz w:val="22"/>
          <w:szCs w:val="22"/>
          <w:lang w:eastAsia="en-GB"/>
        </w:rPr>
        <w:tab/>
      </w:r>
      <w:r w:rsidRPr="00670E77">
        <w:rPr>
          <w:noProof/>
          <w:lang w:val="en-US"/>
        </w:rPr>
        <w:t>Housing transactions: volume</w:t>
      </w:r>
      <w:r>
        <w:rPr>
          <w:noProof/>
        </w:rPr>
        <w:tab/>
      </w:r>
      <w:r>
        <w:rPr>
          <w:noProof/>
        </w:rPr>
        <w:fldChar w:fldCharType="begin"/>
      </w:r>
      <w:r>
        <w:rPr>
          <w:noProof/>
        </w:rPr>
        <w:instrText xml:space="preserve"> PAGEREF _Toc504464750 \h </w:instrText>
      </w:r>
      <w:r>
        <w:rPr>
          <w:noProof/>
        </w:rPr>
      </w:r>
      <w:r>
        <w:rPr>
          <w:noProof/>
        </w:rPr>
        <w:fldChar w:fldCharType="separate"/>
      </w:r>
      <w:r>
        <w:rPr>
          <w:noProof/>
        </w:rPr>
        <w:t>9-49</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9.4</w:t>
      </w:r>
      <w:r>
        <w:rPr>
          <w:rFonts w:eastAsiaTheme="minorEastAsia"/>
          <w:noProof/>
          <w:kern w:val="0"/>
          <w:sz w:val="22"/>
          <w:szCs w:val="22"/>
          <w:lang w:eastAsia="en-GB"/>
        </w:rPr>
        <w:tab/>
      </w:r>
      <w:r w:rsidRPr="00670E77">
        <w:rPr>
          <w:noProof/>
          <w:lang w:val="en-US"/>
        </w:rPr>
        <w:t>Migration</w:t>
      </w:r>
      <w:r>
        <w:rPr>
          <w:noProof/>
        </w:rPr>
        <w:tab/>
      </w:r>
      <w:r>
        <w:rPr>
          <w:noProof/>
        </w:rPr>
        <w:fldChar w:fldCharType="begin"/>
      </w:r>
      <w:r>
        <w:rPr>
          <w:noProof/>
        </w:rPr>
        <w:instrText xml:space="preserve"> PAGEREF _Toc504464751 \h </w:instrText>
      </w:r>
      <w:r>
        <w:rPr>
          <w:noProof/>
        </w:rPr>
      </w:r>
      <w:r>
        <w:rPr>
          <w:noProof/>
        </w:rPr>
        <w:fldChar w:fldCharType="separate"/>
      </w:r>
      <w:r>
        <w:rPr>
          <w:noProof/>
        </w:rPr>
        <w:t>9-50</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9.5</w:t>
      </w:r>
      <w:r>
        <w:rPr>
          <w:rFonts w:eastAsiaTheme="minorEastAsia"/>
          <w:noProof/>
          <w:kern w:val="0"/>
          <w:sz w:val="22"/>
          <w:szCs w:val="22"/>
          <w:lang w:eastAsia="en-GB"/>
        </w:rPr>
        <w:tab/>
      </w:r>
      <w:r w:rsidRPr="00670E77">
        <w:rPr>
          <w:noProof/>
          <w:lang w:val="en-US"/>
        </w:rPr>
        <w:t>Overcrowding and concealed families</w:t>
      </w:r>
      <w:r>
        <w:rPr>
          <w:noProof/>
        </w:rPr>
        <w:tab/>
      </w:r>
      <w:r>
        <w:rPr>
          <w:noProof/>
        </w:rPr>
        <w:fldChar w:fldCharType="begin"/>
      </w:r>
      <w:r>
        <w:rPr>
          <w:noProof/>
        </w:rPr>
        <w:instrText xml:space="preserve"> PAGEREF _Toc504464752 \h </w:instrText>
      </w:r>
      <w:r>
        <w:rPr>
          <w:noProof/>
        </w:rPr>
      </w:r>
      <w:r>
        <w:rPr>
          <w:noProof/>
        </w:rPr>
        <w:fldChar w:fldCharType="separate"/>
      </w:r>
      <w:r>
        <w:rPr>
          <w:noProof/>
        </w:rPr>
        <w:t>9-51</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9.6</w:t>
      </w:r>
      <w:r>
        <w:rPr>
          <w:rFonts w:eastAsiaTheme="minorEastAsia"/>
          <w:noProof/>
          <w:kern w:val="0"/>
          <w:sz w:val="22"/>
          <w:szCs w:val="22"/>
          <w:lang w:eastAsia="en-GB"/>
        </w:rPr>
        <w:tab/>
      </w:r>
      <w:r w:rsidRPr="00670E77">
        <w:rPr>
          <w:noProof/>
          <w:lang w:val="en-US"/>
        </w:rPr>
        <w:t>Rate of development</w:t>
      </w:r>
      <w:r>
        <w:rPr>
          <w:noProof/>
        </w:rPr>
        <w:tab/>
      </w:r>
      <w:r>
        <w:rPr>
          <w:noProof/>
        </w:rPr>
        <w:fldChar w:fldCharType="begin"/>
      </w:r>
      <w:r>
        <w:rPr>
          <w:noProof/>
        </w:rPr>
        <w:instrText xml:space="preserve"> PAGEREF _Toc504464753 \h </w:instrText>
      </w:r>
      <w:r>
        <w:rPr>
          <w:noProof/>
        </w:rPr>
      </w:r>
      <w:r>
        <w:rPr>
          <w:noProof/>
        </w:rPr>
        <w:fldChar w:fldCharType="separate"/>
      </w:r>
      <w:r>
        <w:rPr>
          <w:noProof/>
        </w:rPr>
        <w:t>9-52</w:t>
      </w:r>
      <w:r>
        <w:rPr>
          <w:noProof/>
        </w:rPr>
        <w:fldChar w:fldCharType="end"/>
      </w:r>
    </w:p>
    <w:p w:rsidR="00B25544" w:rsidRDefault="00B25544">
      <w:pPr>
        <w:pStyle w:val="TOC1"/>
        <w:rPr>
          <w:rFonts w:asciiTheme="minorHAnsi" w:eastAsiaTheme="minorEastAsia" w:hAnsiTheme="minorHAnsi"/>
          <w:noProof/>
          <w:kern w:val="0"/>
          <w:sz w:val="22"/>
          <w:szCs w:val="22"/>
          <w:lang w:eastAsia="en-GB"/>
        </w:rPr>
      </w:pPr>
      <w:r w:rsidRPr="00670E77">
        <w:rPr>
          <w:noProof/>
          <w:lang w:val="en-US"/>
        </w:rPr>
        <w:t>10.</w:t>
      </w:r>
      <w:r>
        <w:rPr>
          <w:rFonts w:asciiTheme="minorHAnsi" w:eastAsiaTheme="minorEastAsia" w:hAnsiTheme="minorHAnsi"/>
          <w:noProof/>
          <w:kern w:val="0"/>
          <w:sz w:val="22"/>
          <w:szCs w:val="22"/>
          <w:lang w:eastAsia="en-GB"/>
        </w:rPr>
        <w:tab/>
      </w:r>
      <w:r w:rsidRPr="00670E77">
        <w:rPr>
          <w:noProof/>
          <w:lang w:val="en-US"/>
        </w:rPr>
        <w:t>Conclusions</w:t>
      </w:r>
      <w:r>
        <w:rPr>
          <w:noProof/>
        </w:rPr>
        <w:tab/>
      </w:r>
      <w:r>
        <w:rPr>
          <w:noProof/>
        </w:rPr>
        <w:fldChar w:fldCharType="begin"/>
      </w:r>
      <w:r>
        <w:rPr>
          <w:noProof/>
        </w:rPr>
        <w:instrText xml:space="preserve"> PAGEREF _Toc504464754 \h </w:instrText>
      </w:r>
      <w:r>
        <w:rPr>
          <w:noProof/>
        </w:rPr>
      </w:r>
      <w:r>
        <w:rPr>
          <w:noProof/>
        </w:rPr>
        <w:fldChar w:fldCharType="separate"/>
      </w:r>
      <w:r>
        <w:rPr>
          <w:noProof/>
        </w:rPr>
        <w:t>10-54</w:t>
      </w:r>
      <w:r>
        <w:rPr>
          <w:noProof/>
        </w:rPr>
        <w:fldChar w:fldCharType="end"/>
      </w:r>
    </w:p>
    <w:p w:rsidR="00B25544" w:rsidRDefault="00B25544">
      <w:pPr>
        <w:pStyle w:val="TOC2"/>
        <w:tabs>
          <w:tab w:val="left" w:pos="1134"/>
        </w:tabs>
        <w:rPr>
          <w:rFonts w:eastAsiaTheme="minorEastAsia"/>
          <w:noProof/>
          <w:kern w:val="0"/>
          <w:sz w:val="22"/>
          <w:szCs w:val="22"/>
          <w:lang w:eastAsia="en-GB"/>
        </w:rPr>
      </w:pPr>
      <w:r>
        <w:rPr>
          <w:noProof/>
        </w:rPr>
        <w:t>10.1</w:t>
      </w:r>
      <w:r>
        <w:rPr>
          <w:rFonts w:eastAsiaTheme="minorEastAsia"/>
          <w:noProof/>
          <w:kern w:val="0"/>
          <w:sz w:val="22"/>
          <w:szCs w:val="22"/>
          <w:lang w:eastAsia="en-GB"/>
        </w:rPr>
        <w:tab/>
      </w:r>
      <w:r w:rsidRPr="00670E77">
        <w:rPr>
          <w:noProof/>
          <w:lang w:val="en-US"/>
        </w:rPr>
        <w:t>Overview</w:t>
      </w:r>
      <w:r>
        <w:rPr>
          <w:noProof/>
        </w:rPr>
        <w:tab/>
      </w:r>
      <w:r>
        <w:rPr>
          <w:noProof/>
        </w:rPr>
        <w:fldChar w:fldCharType="begin"/>
      </w:r>
      <w:r>
        <w:rPr>
          <w:noProof/>
        </w:rPr>
        <w:instrText xml:space="preserve"> PAGEREF _Toc504464755 \h </w:instrText>
      </w:r>
      <w:r>
        <w:rPr>
          <w:noProof/>
        </w:rPr>
      </w:r>
      <w:r>
        <w:rPr>
          <w:noProof/>
        </w:rPr>
        <w:fldChar w:fldCharType="separate"/>
      </w:r>
      <w:r>
        <w:rPr>
          <w:noProof/>
        </w:rPr>
        <w:t>10-54</w:t>
      </w:r>
      <w:r>
        <w:rPr>
          <w:noProof/>
        </w:rPr>
        <w:fldChar w:fldCharType="end"/>
      </w:r>
    </w:p>
    <w:p w:rsidR="00B25544" w:rsidRDefault="00B25544">
      <w:pPr>
        <w:pStyle w:val="TOC2"/>
        <w:tabs>
          <w:tab w:val="left" w:pos="1134"/>
        </w:tabs>
        <w:rPr>
          <w:rFonts w:eastAsiaTheme="minorEastAsia"/>
          <w:noProof/>
          <w:kern w:val="0"/>
          <w:sz w:val="22"/>
          <w:szCs w:val="22"/>
          <w:lang w:eastAsia="en-GB"/>
        </w:rPr>
      </w:pPr>
      <w:r w:rsidRPr="00670E77">
        <w:rPr>
          <w:noProof/>
          <w:lang w:val="en-US"/>
        </w:rPr>
        <w:t>10.2</w:t>
      </w:r>
      <w:r>
        <w:rPr>
          <w:rFonts w:eastAsiaTheme="minorEastAsia"/>
          <w:noProof/>
          <w:kern w:val="0"/>
          <w:sz w:val="22"/>
          <w:szCs w:val="22"/>
          <w:lang w:eastAsia="en-GB"/>
        </w:rPr>
        <w:tab/>
      </w:r>
      <w:r w:rsidRPr="00670E77">
        <w:rPr>
          <w:noProof/>
          <w:lang w:val="en-US"/>
        </w:rPr>
        <w:t>Recommendations for next steps</w:t>
      </w:r>
      <w:r>
        <w:rPr>
          <w:noProof/>
        </w:rPr>
        <w:tab/>
      </w:r>
      <w:r>
        <w:rPr>
          <w:noProof/>
        </w:rPr>
        <w:fldChar w:fldCharType="begin"/>
      </w:r>
      <w:r>
        <w:rPr>
          <w:noProof/>
        </w:rPr>
        <w:instrText xml:space="preserve"> PAGEREF _Toc504464756 \h </w:instrText>
      </w:r>
      <w:r>
        <w:rPr>
          <w:noProof/>
        </w:rPr>
      </w:r>
      <w:r>
        <w:rPr>
          <w:noProof/>
        </w:rPr>
        <w:fldChar w:fldCharType="separate"/>
      </w:r>
      <w:r>
        <w:rPr>
          <w:noProof/>
        </w:rPr>
        <w:t>10-58</w:t>
      </w:r>
      <w:r>
        <w:rPr>
          <w:noProof/>
        </w:rPr>
        <w:fldChar w:fldCharType="end"/>
      </w:r>
    </w:p>
    <w:p w:rsidR="003964F2" w:rsidRDefault="00B25544" w:rsidP="003964F2">
      <w:pPr>
        <w:pStyle w:val="BodyText"/>
        <w:rPr>
          <w:noProof/>
        </w:rPr>
      </w:pPr>
      <w:r>
        <w:rPr>
          <w:rFonts w:asciiTheme="majorHAnsi" w:hAnsiTheme="majorHAnsi"/>
          <w:noProof/>
        </w:rPr>
        <w:fldChar w:fldCharType="end"/>
      </w:r>
    </w:p>
    <w:bookmarkEnd w:id="35"/>
    <w:p w:rsidR="007935AD" w:rsidRDefault="007935AD" w:rsidP="000A14DC">
      <w:pPr>
        <w:rPr>
          <w:b/>
          <w:bCs/>
          <w:noProof/>
        </w:rPr>
        <w:sectPr w:rsidR="007935AD" w:rsidSect="00B25544">
          <w:headerReference w:type="default" r:id="rId11"/>
          <w:footerReference w:type="default" r:id="rId12"/>
          <w:pgSz w:w="11906" w:h="16838" w:code="9"/>
          <w:pgMar w:top="1134" w:right="1440" w:bottom="851" w:left="1440" w:header="709" w:footer="284" w:gutter="0"/>
          <w:cols w:space="708"/>
          <w:docGrid w:linePitch="360"/>
        </w:sectPr>
      </w:pPr>
    </w:p>
    <w:p w:rsidR="00E80CC8" w:rsidRPr="00FC4BB9" w:rsidRDefault="00FC4BB9" w:rsidP="00E80CC8">
      <w:pPr>
        <w:pStyle w:val="BodyText"/>
        <w:rPr>
          <w:b/>
          <w:bCs/>
          <w:sz w:val="22"/>
          <w:szCs w:val="22"/>
          <w:lang w:val="en-US"/>
        </w:rPr>
      </w:pPr>
      <w:r w:rsidRPr="00FC4BB9">
        <w:rPr>
          <w:b/>
          <w:bCs/>
          <w:sz w:val="22"/>
          <w:szCs w:val="22"/>
          <w:lang w:val="en-US"/>
        </w:rPr>
        <w:lastRenderedPageBreak/>
        <w:t>List of acronyms used in the text:</w:t>
      </w:r>
    </w:p>
    <w:p w:rsidR="00E80CC8" w:rsidRPr="00E80CC8" w:rsidRDefault="00E80CC8" w:rsidP="00E80CC8">
      <w:pPr>
        <w:pStyle w:val="BodyText"/>
        <w:rPr>
          <w:bCs/>
          <w:sz w:val="22"/>
          <w:szCs w:val="22"/>
          <w:lang w:val="en-US"/>
        </w:rPr>
      </w:pPr>
    </w:p>
    <w:p w:rsidR="00E80CC8" w:rsidRDefault="00E80CC8" w:rsidP="00E80CC8">
      <w:pPr>
        <w:pStyle w:val="BodyText"/>
        <w:rPr>
          <w:sz w:val="22"/>
          <w:szCs w:val="22"/>
          <w:lang w:val="en-US"/>
        </w:rPr>
      </w:pPr>
      <w:r w:rsidRPr="00E80CC8">
        <w:rPr>
          <w:sz w:val="22"/>
          <w:szCs w:val="22"/>
          <w:lang w:val="en-US"/>
        </w:rPr>
        <w:t xml:space="preserve">AH </w:t>
      </w:r>
      <w:r w:rsidRPr="00E80CC8">
        <w:rPr>
          <w:sz w:val="22"/>
          <w:szCs w:val="22"/>
          <w:lang w:val="en-US"/>
        </w:rPr>
        <w:tab/>
      </w:r>
      <w:r w:rsidR="00BA1D3D">
        <w:rPr>
          <w:sz w:val="22"/>
          <w:szCs w:val="22"/>
          <w:lang w:val="en-US"/>
        </w:rPr>
        <w:tab/>
      </w:r>
      <w:r w:rsidRPr="00E80CC8">
        <w:rPr>
          <w:sz w:val="22"/>
          <w:szCs w:val="22"/>
          <w:lang w:val="en-US"/>
        </w:rPr>
        <w:t>Affordable Housing (NPPF definition)</w:t>
      </w:r>
    </w:p>
    <w:p w:rsidR="00BA1D3D" w:rsidRPr="00E80CC8" w:rsidRDefault="00BA1D3D" w:rsidP="00E80CC8">
      <w:pPr>
        <w:pStyle w:val="BodyText"/>
        <w:rPr>
          <w:sz w:val="22"/>
          <w:szCs w:val="22"/>
          <w:lang w:val="en-US"/>
        </w:rPr>
      </w:pPr>
      <w:r w:rsidRPr="00BA1D3D">
        <w:rPr>
          <w:sz w:val="22"/>
          <w:szCs w:val="22"/>
          <w:lang w:val="en-US"/>
        </w:rPr>
        <w:t>AHDNS14</w:t>
      </w:r>
      <w:r>
        <w:rPr>
          <w:sz w:val="22"/>
          <w:szCs w:val="22"/>
          <w:lang w:val="en-US"/>
        </w:rPr>
        <w:tab/>
      </w:r>
      <w:r w:rsidRPr="00BA1D3D">
        <w:rPr>
          <w:sz w:val="22"/>
          <w:szCs w:val="22"/>
          <w:lang w:val="en-US"/>
        </w:rPr>
        <w:t xml:space="preserve">Assessment of Housing Development Needs Study </w:t>
      </w:r>
    </w:p>
    <w:p w:rsidR="00E80CC8" w:rsidRDefault="00E80CC8" w:rsidP="00E80CC8">
      <w:pPr>
        <w:pStyle w:val="BodyText"/>
        <w:rPr>
          <w:sz w:val="22"/>
          <w:szCs w:val="22"/>
          <w:lang w:val="en-US"/>
        </w:rPr>
      </w:pPr>
      <w:r w:rsidRPr="00E80CC8">
        <w:rPr>
          <w:sz w:val="22"/>
          <w:szCs w:val="22"/>
          <w:lang w:val="en-US"/>
        </w:rPr>
        <w:t xml:space="preserve">AMH </w:t>
      </w:r>
      <w:r w:rsidRPr="00E80CC8">
        <w:rPr>
          <w:sz w:val="22"/>
          <w:szCs w:val="22"/>
          <w:lang w:val="en-US"/>
        </w:rPr>
        <w:tab/>
      </w:r>
      <w:r w:rsidR="00BA1D3D">
        <w:rPr>
          <w:sz w:val="22"/>
          <w:szCs w:val="22"/>
          <w:lang w:val="en-US"/>
        </w:rPr>
        <w:tab/>
      </w:r>
      <w:r w:rsidRPr="00E80CC8">
        <w:rPr>
          <w:sz w:val="22"/>
          <w:szCs w:val="22"/>
          <w:lang w:val="en-US"/>
        </w:rPr>
        <w:t>Affordable Market Housing</w:t>
      </w:r>
    </w:p>
    <w:p w:rsidR="00147691" w:rsidRDefault="00BA1D3D" w:rsidP="00E80CC8">
      <w:pPr>
        <w:pStyle w:val="BodyText"/>
        <w:rPr>
          <w:sz w:val="22"/>
          <w:szCs w:val="22"/>
          <w:lang w:val="en-US"/>
        </w:rPr>
      </w:pPr>
      <w:r>
        <w:rPr>
          <w:sz w:val="22"/>
          <w:szCs w:val="22"/>
          <w:lang w:val="en-US"/>
        </w:rPr>
        <w:t>WW</w:t>
      </w:r>
      <w:r w:rsidR="001B1A5F">
        <w:rPr>
          <w:sz w:val="22"/>
          <w:szCs w:val="22"/>
          <w:lang w:val="en-US"/>
        </w:rPr>
        <w:t>PC</w:t>
      </w:r>
      <w:r w:rsidR="00147691">
        <w:rPr>
          <w:sz w:val="22"/>
          <w:szCs w:val="22"/>
          <w:lang w:val="en-US"/>
        </w:rPr>
        <w:t xml:space="preserve">     </w:t>
      </w:r>
      <w:r>
        <w:rPr>
          <w:sz w:val="22"/>
          <w:szCs w:val="22"/>
          <w:lang w:val="en-US"/>
        </w:rPr>
        <w:tab/>
        <w:t xml:space="preserve">West </w:t>
      </w:r>
      <w:proofErr w:type="spellStart"/>
      <w:r>
        <w:rPr>
          <w:sz w:val="22"/>
          <w:szCs w:val="22"/>
          <w:lang w:val="en-US"/>
        </w:rPr>
        <w:t>Wittering</w:t>
      </w:r>
      <w:proofErr w:type="spellEnd"/>
      <w:r>
        <w:rPr>
          <w:sz w:val="22"/>
          <w:szCs w:val="22"/>
          <w:lang w:val="en-US"/>
        </w:rPr>
        <w:t xml:space="preserve"> </w:t>
      </w:r>
      <w:r w:rsidR="005F5CF8">
        <w:rPr>
          <w:sz w:val="22"/>
          <w:szCs w:val="22"/>
          <w:lang w:val="en-US"/>
        </w:rPr>
        <w:t>Parish</w:t>
      </w:r>
      <w:r w:rsidR="00147691">
        <w:rPr>
          <w:sz w:val="22"/>
          <w:szCs w:val="22"/>
          <w:lang w:val="en-US"/>
        </w:rPr>
        <w:t xml:space="preserve"> Council </w:t>
      </w:r>
    </w:p>
    <w:p w:rsidR="00BA1D3D" w:rsidRPr="00E80CC8" w:rsidRDefault="00BA1D3D" w:rsidP="00E80CC8">
      <w:pPr>
        <w:pStyle w:val="BodyText"/>
        <w:rPr>
          <w:sz w:val="22"/>
          <w:szCs w:val="22"/>
          <w:lang w:val="en-US"/>
        </w:rPr>
      </w:pPr>
      <w:r w:rsidRPr="00BA1D3D">
        <w:rPr>
          <w:sz w:val="22"/>
          <w:szCs w:val="22"/>
          <w:lang w:val="en-US"/>
        </w:rPr>
        <w:t>CWSS12</w:t>
      </w:r>
      <w:r>
        <w:rPr>
          <w:sz w:val="22"/>
          <w:szCs w:val="22"/>
          <w:lang w:val="en-US"/>
        </w:rPr>
        <w:tab/>
      </w:r>
      <w:r w:rsidRPr="00BA1D3D">
        <w:rPr>
          <w:sz w:val="22"/>
          <w:szCs w:val="22"/>
          <w:lang w:val="en-US"/>
        </w:rPr>
        <w:t xml:space="preserve">Coastal West Sussex Strategic Housing Market Assessment </w:t>
      </w:r>
    </w:p>
    <w:p w:rsidR="00E80CC8" w:rsidRPr="00E80CC8" w:rsidRDefault="00E80CC8" w:rsidP="00E80CC8">
      <w:pPr>
        <w:pStyle w:val="BodyText"/>
        <w:rPr>
          <w:sz w:val="22"/>
          <w:szCs w:val="22"/>
          <w:lang w:val="en-US"/>
        </w:rPr>
      </w:pPr>
      <w:r w:rsidRPr="00E80CC8">
        <w:rPr>
          <w:sz w:val="22"/>
          <w:szCs w:val="22"/>
          <w:lang w:val="en-US"/>
        </w:rPr>
        <w:t xml:space="preserve">GT </w:t>
      </w:r>
      <w:r w:rsidRPr="00E80CC8">
        <w:rPr>
          <w:sz w:val="22"/>
          <w:szCs w:val="22"/>
          <w:lang w:val="en-US"/>
        </w:rPr>
        <w:tab/>
      </w:r>
      <w:r w:rsidR="00BA1D3D">
        <w:rPr>
          <w:sz w:val="22"/>
          <w:szCs w:val="22"/>
          <w:lang w:val="en-US"/>
        </w:rPr>
        <w:tab/>
      </w:r>
      <w:r w:rsidRPr="00E80CC8">
        <w:rPr>
          <w:sz w:val="22"/>
          <w:szCs w:val="22"/>
          <w:lang w:val="en-US"/>
        </w:rPr>
        <w:t xml:space="preserve">Gypsy &amp; </w:t>
      </w:r>
      <w:proofErr w:type="spellStart"/>
      <w:r w:rsidRPr="00E80CC8">
        <w:rPr>
          <w:sz w:val="22"/>
          <w:szCs w:val="22"/>
          <w:lang w:val="en-US"/>
        </w:rPr>
        <w:t>Traveller</w:t>
      </w:r>
      <w:proofErr w:type="spellEnd"/>
    </w:p>
    <w:p w:rsidR="00E80CC8" w:rsidRPr="00E80CC8" w:rsidRDefault="00E80CC8" w:rsidP="00E80CC8">
      <w:pPr>
        <w:pStyle w:val="BodyText"/>
        <w:rPr>
          <w:sz w:val="22"/>
          <w:szCs w:val="22"/>
          <w:lang w:val="en-US"/>
        </w:rPr>
      </w:pPr>
      <w:r w:rsidRPr="00E80CC8">
        <w:rPr>
          <w:sz w:val="22"/>
          <w:szCs w:val="22"/>
          <w:lang w:val="en-US"/>
        </w:rPr>
        <w:t xml:space="preserve">GTAA </w:t>
      </w:r>
      <w:r w:rsidRPr="00E80CC8">
        <w:rPr>
          <w:sz w:val="22"/>
          <w:szCs w:val="22"/>
          <w:lang w:val="en-US"/>
        </w:rPr>
        <w:tab/>
      </w:r>
      <w:r w:rsidR="00BA1D3D">
        <w:rPr>
          <w:sz w:val="22"/>
          <w:szCs w:val="22"/>
          <w:lang w:val="en-US"/>
        </w:rPr>
        <w:tab/>
      </w:r>
      <w:r w:rsidRPr="00E80CC8">
        <w:rPr>
          <w:sz w:val="22"/>
          <w:szCs w:val="22"/>
          <w:lang w:val="en-US"/>
        </w:rPr>
        <w:t xml:space="preserve">Gypsy and </w:t>
      </w:r>
      <w:proofErr w:type="spellStart"/>
      <w:r w:rsidRPr="00E80CC8">
        <w:rPr>
          <w:sz w:val="22"/>
          <w:szCs w:val="22"/>
          <w:lang w:val="en-US"/>
        </w:rPr>
        <w:t>Traveller</w:t>
      </w:r>
      <w:proofErr w:type="spellEnd"/>
      <w:r w:rsidRPr="00E80CC8">
        <w:rPr>
          <w:sz w:val="22"/>
          <w:szCs w:val="22"/>
          <w:lang w:val="en-US"/>
        </w:rPr>
        <w:t xml:space="preserve"> Accommodation Assessment</w:t>
      </w:r>
    </w:p>
    <w:p w:rsidR="00E80CC8" w:rsidRPr="00E80CC8" w:rsidRDefault="00E80CC8" w:rsidP="00E80CC8">
      <w:pPr>
        <w:pStyle w:val="BodyText"/>
        <w:rPr>
          <w:sz w:val="22"/>
          <w:szCs w:val="22"/>
          <w:lang w:val="en-US"/>
        </w:rPr>
      </w:pPr>
      <w:r w:rsidRPr="00E80CC8">
        <w:rPr>
          <w:sz w:val="22"/>
          <w:szCs w:val="22"/>
          <w:lang w:val="en-US"/>
        </w:rPr>
        <w:t xml:space="preserve">HNA </w:t>
      </w:r>
      <w:r w:rsidRPr="00E80CC8">
        <w:rPr>
          <w:sz w:val="22"/>
          <w:szCs w:val="22"/>
          <w:lang w:val="en-US"/>
        </w:rPr>
        <w:tab/>
      </w:r>
      <w:r w:rsidR="00BA1D3D">
        <w:rPr>
          <w:sz w:val="22"/>
          <w:szCs w:val="22"/>
          <w:lang w:val="en-US"/>
        </w:rPr>
        <w:tab/>
      </w:r>
      <w:r w:rsidRPr="00E80CC8">
        <w:rPr>
          <w:sz w:val="22"/>
          <w:szCs w:val="22"/>
          <w:lang w:val="en-US"/>
        </w:rPr>
        <w:t>Housing Needs Assessment</w:t>
      </w:r>
    </w:p>
    <w:p w:rsidR="00E80CC8" w:rsidRDefault="006F461B" w:rsidP="00E80CC8">
      <w:pPr>
        <w:pStyle w:val="BodyText"/>
        <w:rPr>
          <w:sz w:val="22"/>
          <w:szCs w:val="22"/>
          <w:lang w:val="en-US"/>
        </w:rPr>
      </w:pPr>
      <w:r>
        <w:rPr>
          <w:sz w:val="22"/>
          <w:szCs w:val="22"/>
          <w:lang w:val="en-US"/>
        </w:rPr>
        <w:t xml:space="preserve">LPA </w:t>
      </w:r>
      <w:r>
        <w:rPr>
          <w:sz w:val="22"/>
          <w:szCs w:val="22"/>
          <w:lang w:val="en-US"/>
        </w:rPr>
        <w:tab/>
      </w:r>
      <w:r w:rsidR="00BA1D3D">
        <w:rPr>
          <w:sz w:val="22"/>
          <w:szCs w:val="22"/>
          <w:lang w:val="en-US"/>
        </w:rPr>
        <w:tab/>
      </w:r>
      <w:r>
        <w:rPr>
          <w:sz w:val="22"/>
          <w:szCs w:val="22"/>
          <w:lang w:val="en-US"/>
        </w:rPr>
        <w:t>Local Planning Authority</w:t>
      </w:r>
    </w:p>
    <w:p w:rsidR="00B25544" w:rsidRPr="00E80CC8" w:rsidRDefault="00B25544" w:rsidP="00E80CC8">
      <w:pPr>
        <w:pStyle w:val="BodyText"/>
        <w:rPr>
          <w:sz w:val="22"/>
          <w:szCs w:val="22"/>
          <w:lang w:val="en-US"/>
        </w:rPr>
      </w:pPr>
      <w:r>
        <w:rPr>
          <w:sz w:val="22"/>
          <w:szCs w:val="22"/>
          <w:lang w:val="en-US"/>
        </w:rPr>
        <w:t>MHCLG</w:t>
      </w:r>
      <w:r w:rsidRPr="00E80CC8">
        <w:rPr>
          <w:sz w:val="22"/>
          <w:szCs w:val="22"/>
          <w:lang w:val="en-US"/>
        </w:rPr>
        <w:t xml:space="preserve"> </w:t>
      </w:r>
      <w:r w:rsidRPr="00E80CC8">
        <w:rPr>
          <w:sz w:val="22"/>
          <w:szCs w:val="22"/>
          <w:lang w:val="en-US"/>
        </w:rPr>
        <w:tab/>
      </w:r>
      <w:r>
        <w:rPr>
          <w:sz w:val="22"/>
          <w:szCs w:val="22"/>
          <w:lang w:val="en-US"/>
        </w:rPr>
        <w:t xml:space="preserve">Ministry for Housing, </w:t>
      </w:r>
      <w:r w:rsidRPr="00E80CC8">
        <w:rPr>
          <w:sz w:val="22"/>
          <w:szCs w:val="22"/>
          <w:lang w:val="en-US"/>
        </w:rPr>
        <w:t>Communities and Local Government</w:t>
      </w:r>
      <w:r>
        <w:rPr>
          <w:sz w:val="22"/>
          <w:szCs w:val="22"/>
          <w:lang w:val="en-US"/>
        </w:rPr>
        <w:t xml:space="preserve"> (formerly DCLG)</w:t>
      </w:r>
    </w:p>
    <w:p w:rsidR="00E80CC8" w:rsidRPr="00E80CC8" w:rsidRDefault="00E80CC8" w:rsidP="00E80CC8">
      <w:pPr>
        <w:pStyle w:val="BodyText"/>
        <w:rPr>
          <w:sz w:val="22"/>
          <w:szCs w:val="22"/>
          <w:lang w:val="en-US"/>
        </w:rPr>
      </w:pPr>
      <w:r w:rsidRPr="00E80CC8">
        <w:rPr>
          <w:sz w:val="22"/>
          <w:szCs w:val="22"/>
          <w:lang w:val="en-US"/>
        </w:rPr>
        <w:t xml:space="preserve">NDP </w:t>
      </w:r>
      <w:r w:rsidRPr="00E80CC8">
        <w:rPr>
          <w:sz w:val="22"/>
          <w:szCs w:val="22"/>
          <w:lang w:val="en-US"/>
        </w:rPr>
        <w:tab/>
      </w:r>
      <w:r w:rsidR="00BA1D3D">
        <w:rPr>
          <w:sz w:val="22"/>
          <w:szCs w:val="22"/>
          <w:lang w:val="en-US"/>
        </w:rPr>
        <w:tab/>
      </w:r>
      <w:r w:rsidRPr="00E80CC8">
        <w:rPr>
          <w:sz w:val="22"/>
          <w:szCs w:val="22"/>
          <w:lang w:val="en-US"/>
        </w:rPr>
        <w:t>Neighbourhood Development Plan</w:t>
      </w:r>
    </w:p>
    <w:p w:rsidR="00E80CC8" w:rsidRDefault="00E80CC8" w:rsidP="00E80CC8">
      <w:pPr>
        <w:pStyle w:val="BodyText"/>
        <w:rPr>
          <w:sz w:val="22"/>
          <w:szCs w:val="22"/>
          <w:lang w:val="en-US"/>
        </w:rPr>
      </w:pPr>
      <w:r w:rsidRPr="00E80CC8">
        <w:rPr>
          <w:sz w:val="22"/>
          <w:szCs w:val="22"/>
          <w:lang w:val="en-US"/>
        </w:rPr>
        <w:t xml:space="preserve">NP </w:t>
      </w:r>
      <w:r w:rsidRPr="00E80CC8">
        <w:rPr>
          <w:sz w:val="22"/>
          <w:szCs w:val="22"/>
          <w:lang w:val="en-US"/>
        </w:rPr>
        <w:tab/>
      </w:r>
      <w:r w:rsidR="00BA1D3D">
        <w:rPr>
          <w:sz w:val="22"/>
          <w:szCs w:val="22"/>
          <w:lang w:val="en-US"/>
        </w:rPr>
        <w:tab/>
      </w:r>
      <w:r w:rsidRPr="00E80CC8">
        <w:rPr>
          <w:sz w:val="22"/>
          <w:szCs w:val="22"/>
          <w:lang w:val="en-US"/>
        </w:rPr>
        <w:t>Neighbourhood Plan</w:t>
      </w:r>
    </w:p>
    <w:p w:rsidR="008A0558" w:rsidRPr="00E80CC8" w:rsidRDefault="008A0558" w:rsidP="00E80CC8">
      <w:pPr>
        <w:pStyle w:val="BodyText"/>
        <w:rPr>
          <w:sz w:val="22"/>
          <w:szCs w:val="22"/>
          <w:lang w:val="en-US"/>
        </w:rPr>
      </w:pPr>
      <w:r>
        <w:rPr>
          <w:sz w:val="22"/>
          <w:szCs w:val="22"/>
          <w:lang w:val="en-US"/>
        </w:rPr>
        <w:t xml:space="preserve">NPA     </w:t>
      </w:r>
      <w:r w:rsidR="00BA1D3D">
        <w:rPr>
          <w:sz w:val="22"/>
          <w:szCs w:val="22"/>
          <w:lang w:val="en-US"/>
        </w:rPr>
        <w:tab/>
      </w:r>
      <w:r>
        <w:rPr>
          <w:sz w:val="22"/>
          <w:szCs w:val="22"/>
          <w:lang w:val="en-US"/>
        </w:rPr>
        <w:t>Neighbourhood Plan Area</w:t>
      </w:r>
    </w:p>
    <w:p w:rsidR="00E80CC8" w:rsidRPr="00E80CC8" w:rsidRDefault="00E80CC8" w:rsidP="00E80CC8">
      <w:pPr>
        <w:pStyle w:val="BodyText"/>
        <w:rPr>
          <w:sz w:val="22"/>
          <w:szCs w:val="22"/>
          <w:lang w:val="en-US"/>
        </w:rPr>
      </w:pPr>
      <w:r w:rsidRPr="00E80CC8">
        <w:rPr>
          <w:sz w:val="22"/>
          <w:szCs w:val="22"/>
          <w:lang w:val="en-US"/>
        </w:rPr>
        <w:t xml:space="preserve">NPPF </w:t>
      </w:r>
      <w:r w:rsidRPr="00E80CC8">
        <w:rPr>
          <w:sz w:val="22"/>
          <w:szCs w:val="22"/>
          <w:lang w:val="en-US"/>
        </w:rPr>
        <w:tab/>
      </w:r>
      <w:r w:rsidR="00BA1D3D">
        <w:rPr>
          <w:sz w:val="22"/>
          <w:szCs w:val="22"/>
          <w:lang w:val="en-US"/>
        </w:rPr>
        <w:tab/>
      </w:r>
      <w:r w:rsidRPr="00E80CC8">
        <w:rPr>
          <w:sz w:val="22"/>
          <w:szCs w:val="22"/>
          <w:lang w:val="en-US"/>
        </w:rPr>
        <w:t>National Planning Policy Framework</w:t>
      </w:r>
    </w:p>
    <w:p w:rsidR="00E80CC8" w:rsidRPr="00E80CC8" w:rsidRDefault="00E80CC8" w:rsidP="00E80CC8">
      <w:pPr>
        <w:pStyle w:val="BodyText"/>
        <w:rPr>
          <w:sz w:val="22"/>
          <w:szCs w:val="22"/>
          <w:lang w:val="en-US"/>
        </w:rPr>
      </w:pPr>
      <w:r w:rsidRPr="00E80CC8">
        <w:rPr>
          <w:sz w:val="22"/>
          <w:szCs w:val="22"/>
          <w:lang w:val="en-US"/>
        </w:rPr>
        <w:t xml:space="preserve">ONS </w:t>
      </w:r>
      <w:r w:rsidRPr="00E80CC8">
        <w:rPr>
          <w:sz w:val="22"/>
          <w:szCs w:val="22"/>
          <w:lang w:val="en-US"/>
        </w:rPr>
        <w:tab/>
      </w:r>
      <w:r w:rsidR="00BA1D3D">
        <w:rPr>
          <w:sz w:val="22"/>
          <w:szCs w:val="22"/>
          <w:lang w:val="en-US"/>
        </w:rPr>
        <w:tab/>
      </w:r>
      <w:r w:rsidRPr="00E80CC8">
        <w:rPr>
          <w:sz w:val="22"/>
          <w:szCs w:val="22"/>
          <w:lang w:val="en-US"/>
        </w:rPr>
        <w:t>Office for National Statistics</w:t>
      </w:r>
    </w:p>
    <w:p w:rsidR="00E80CC8" w:rsidRPr="00E80CC8" w:rsidRDefault="00E80CC8" w:rsidP="00E80CC8">
      <w:pPr>
        <w:pStyle w:val="BodyText"/>
        <w:rPr>
          <w:sz w:val="22"/>
          <w:szCs w:val="22"/>
          <w:lang w:val="en-US"/>
        </w:rPr>
      </w:pPr>
      <w:r w:rsidRPr="00E80CC8">
        <w:rPr>
          <w:sz w:val="22"/>
          <w:szCs w:val="22"/>
          <w:lang w:val="en-US"/>
        </w:rPr>
        <w:t xml:space="preserve">PPG </w:t>
      </w:r>
      <w:r w:rsidRPr="00E80CC8">
        <w:rPr>
          <w:sz w:val="22"/>
          <w:szCs w:val="22"/>
          <w:lang w:val="en-US"/>
        </w:rPr>
        <w:tab/>
      </w:r>
      <w:r w:rsidR="00BA1D3D">
        <w:rPr>
          <w:sz w:val="22"/>
          <w:szCs w:val="22"/>
          <w:lang w:val="en-US"/>
        </w:rPr>
        <w:tab/>
      </w:r>
      <w:r w:rsidRPr="00E80CC8">
        <w:rPr>
          <w:sz w:val="22"/>
          <w:szCs w:val="22"/>
          <w:lang w:val="en-US"/>
        </w:rPr>
        <w:t>Planning Practice Guidance</w:t>
      </w:r>
    </w:p>
    <w:p w:rsidR="00E80CC8" w:rsidRPr="00E80CC8" w:rsidRDefault="00E80CC8" w:rsidP="00E80CC8">
      <w:pPr>
        <w:pStyle w:val="BodyText"/>
        <w:rPr>
          <w:sz w:val="22"/>
          <w:szCs w:val="22"/>
          <w:lang w:val="en-US"/>
        </w:rPr>
      </w:pPr>
      <w:r w:rsidRPr="00E80CC8">
        <w:rPr>
          <w:sz w:val="22"/>
          <w:szCs w:val="22"/>
          <w:lang w:val="en-US"/>
        </w:rPr>
        <w:t xml:space="preserve">PRS </w:t>
      </w:r>
      <w:r w:rsidRPr="00E80CC8">
        <w:rPr>
          <w:sz w:val="22"/>
          <w:szCs w:val="22"/>
          <w:lang w:val="en-US"/>
        </w:rPr>
        <w:tab/>
      </w:r>
      <w:r w:rsidR="00BA1D3D">
        <w:rPr>
          <w:sz w:val="22"/>
          <w:szCs w:val="22"/>
          <w:lang w:val="en-US"/>
        </w:rPr>
        <w:tab/>
      </w:r>
      <w:r w:rsidRPr="00E80CC8">
        <w:rPr>
          <w:sz w:val="22"/>
          <w:szCs w:val="22"/>
          <w:lang w:val="en-US"/>
        </w:rPr>
        <w:t>Private Rented Sector</w:t>
      </w:r>
    </w:p>
    <w:p w:rsidR="00E80CC8" w:rsidRDefault="00E80CC8" w:rsidP="00E80CC8">
      <w:pPr>
        <w:pStyle w:val="BodyText"/>
        <w:rPr>
          <w:sz w:val="22"/>
          <w:szCs w:val="22"/>
          <w:lang w:val="en-US"/>
        </w:rPr>
      </w:pPr>
      <w:r w:rsidRPr="00E80CC8">
        <w:rPr>
          <w:sz w:val="22"/>
          <w:szCs w:val="22"/>
          <w:lang w:val="en-US"/>
        </w:rPr>
        <w:t xml:space="preserve">RTF </w:t>
      </w:r>
      <w:r w:rsidRPr="00E80CC8">
        <w:rPr>
          <w:sz w:val="22"/>
          <w:szCs w:val="22"/>
          <w:lang w:val="en-US"/>
        </w:rPr>
        <w:tab/>
      </w:r>
      <w:r w:rsidR="00BA1D3D">
        <w:rPr>
          <w:sz w:val="22"/>
          <w:szCs w:val="22"/>
          <w:lang w:val="en-US"/>
        </w:rPr>
        <w:tab/>
      </w:r>
      <w:r w:rsidRPr="00E80CC8">
        <w:rPr>
          <w:sz w:val="22"/>
          <w:szCs w:val="22"/>
          <w:lang w:val="en-US"/>
        </w:rPr>
        <w:t>Rural Town and Fringe</w:t>
      </w:r>
    </w:p>
    <w:p w:rsidR="00BA1D3D" w:rsidRPr="00E80CC8" w:rsidRDefault="00BA1D3D" w:rsidP="00BA1D3D">
      <w:pPr>
        <w:pStyle w:val="BodyText"/>
        <w:ind w:left="1440" w:hanging="1440"/>
        <w:rPr>
          <w:sz w:val="22"/>
          <w:szCs w:val="22"/>
          <w:lang w:val="en-US"/>
        </w:rPr>
      </w:pPr>
      <w:r w:rsidRPr="00BA1D3D">
        <w:rPr>
          <w:sz w:val="22"/>
          <w:szCs w:val="22"/>
          <w:lang w:val="en-US"/>
        </w:rPr>
        <w:t>ROANH14</w:t>
      </w:r>
      <w:r>
        <w:rPr>
          <w:sz w:val="22"/>
          <w:szCs w:val="22"/>
          <w:lang w:val="en-US"/>
        </w:rPr>
        <w:tab/>
      </w:r>
      <w:r w:rsidRPr="00BA1D3D">
        <w:rPr>
          <w:sz w:val="22"/>
          <w:szCs w:val="22"/>
          <w:lang w:val="en-US"/>
        </w:rPr>
        <w:t>Review of Objectively Assessed Housing Need in light of 2012-based Sub</w:t>
      </w:r>
      <w:r w:rsidR="00D403D7">
        <w:rPr>
          <w:sz w:val="22"/>
          <w:szCs w:val="22"/>
          <w:lang w:val="en-US"/>
        </w:rPr>
        <w:t>-</w:t>
      </w:r>
      <w:r w:rsidRPr="00BA1D3D">
        <w:rPr>
          <w:sz w:val="22"/>
          <w:szCs w:val="22"/>
          <w:lang w:val="en-US"/>
        </w:rPr>
        <w:t xml:space="preserve">national Population Projections </w:t>
      </w:r>
    </w:p>
    <w:p w:rsidR="00E80CC8" w:rsidRPr="00E80CC8" w:rsidRDefault="008A0558" w:rsidP="00E80CC8">
      <w:pPr>
        <w:pStyle w:val="BodyText"/>
        <w:rPr>
          <w:sz w:val="22"/>
          <w:szCs w:val="22"/>
          <w:lang w:val="en-US"/>
        </w:rPr>
      </w:pPr>
      <w:r>
        <w:rPr>
          <w:sz w:val="22"/>
          <w:szCs w:val="22"/>
          <w:lang w:val="en-US"/>
        </w:rPr>
        <w:t xml:space="preserve">SHLAA </w:t>
      </w:r>
      <w:r w:rsidR="00BA1D3D">
        <w:rPr>
          <w:sz w:val="22"/>
          <w:szCs w:val="22"/>
          <w:lang w:val="en-US"/>
        </w:rPr>
        <w:tab/>
      </w:r>
      <w:r w:rsidR="00E80CC8" w:rsidRPr="00E80CC8">
        <w:rPr>
          <w:sz w:val="22"/>
          <w:szCs w:val="22"/>
          <w:lang w:val="en-US"/>
        </w:rPr>
        <w:t>Strategic Housing Land Availability Assessment</w:t>
      </w:r>
    </w:p>
    <w:p w:rsidR="00E80CC8" w:rsidRDefault="00E80CC8" w:rsidP="00E80CC8">
      <w:pPr>
        <w:pStyle w:val="BodyText"/>
        <w:rPr>
          <w:sz w:val="22"/>
          <w:szCs w:val="22"/>
          <w:lang w:val="en-US"/>
        </w:rPr>
      </w:pPr>
      <w:r w:rsidRPr="00E80CC8">
        <w:rPr>
          <w:sz w:val="22"/>
          <w:szCs w:val="22"/>
          <w:lang w:val="en-US"/>
        </w:rPr>
        <w:t xml:space="preserve">SHMA </w:t>
      </w:r>
      <w:r w:rsidRPr="00E80CC8">
        <w:rPr>
          <w:sz w:val="22"/>
          <w:szCs w:val="22"/>
          <w:lang w:val="en-US"/>
        </w:rPr>
        <w:tab/>
      </w:r>
      <w:r w:rsidR="00BA1D3D">
        <w:rPr>
          <w:sz w:val="22"/>
          <w:szCs w:val="22"/>
          <w:lang w:val="en-US"/>
        </w:rPr>
        <w:tab/>
      </w:r>
      <w:r w:rsidRPr="00E80CC8">
        <w:rPr>
          <w:sz w:val="22"/>
          <w:szCs w:val="22"/>
          <w:lang w:val="en-US"/>
        </w:rPr>
        <w:t>Strategic Housing Market Assessment</w:t>
      </w:r>
    </w:p>
    <w:p w:rsidR="008A0558" w:rsidRDefault="001B1A5F" w:rsidP="00E80CC8">
      <w:pPr>
        <w:pStyle w:val="BodyText"/>
        <w:rPr>
          <w:sz w:val="22"/>
          <w:szCs w:val="22"/>
          <w:lang w:val="en-US"/>
        </w:rPr>
      </w:pPr>
      <w:r>
        <w:rPr>
          <w:sz w:val="22"/>
          <w:szCs w:val="22"/>
          <w:lang w:val="en-US"/>
        </w:rPr>
        <w:t>D</w:t>
      </w:r>
      <w:r w:rsidR="008A0558">
        <w:rPr>
          <w:sz w:val="22"/>
          <w:szCs w:val="22"/>
          <w:lang w:val="en-US"/>
        </w:rPr>
        <w:t xml:space="preserve">CS </w:t>
      </w:r>
      <w:r w:rsidR="00BA1D3D">
        <w:rPr>
          <w:sz w:val="22"/>
          <w:szCs w:val="22"/>
          <w:lang w:val="en-US"/>
        </w:rPr>
        <w:tab/>
      </w:r>
      <w:r w:rsidR="00BA1D3D">
        <w:rPr>
          <w:sz w:val="22"/>
          <w:szCs w:val="22"/>
          <w:lang w:val="en-US"/>
        </w:rPr>
        <w:tab/>
      </w:r>
      <w:r w:rsidR="005F5CF8">
        <w:rPr>
          <w:sz w:val="22"/>
          <w:szCs w:val="22"/>
          <w:lang w:val="en-US"/>
        </w:rPr>
        <w:t>District</w:t>
      </w:r>
      <w:r w:rsidR="008A0558">
        <w:rPr>
          <w:sz w:val="22"/>
          <w:szCs w:val="22"/>
          <w:lang w:val="en-US"/>
        </w:rPr>
        <w:t xml:space="preserve"> Core Strategy </w:t>
      </w:r>
    </w:p>
    <w:p w:rsidR="00E80CC8" w:rsidRPr="00E80CC8" w:rsidRDefault="00E80CC8" w:rsidP="00E80CC8">
      <w:pPr>
        <w:pStyle w:val="BodyText"/>
        <w:rPr>
          <w:sz w:val="22"/>
          <w:szCs w:val="22"/>
          <w:lang w:val="en-US"/>
        </w:rPr>
      </w:pPr>
    </w:p>
    <w:p w:rsidR="00E80CC8" w:rsidRPr="008D11A6" w:rsidRDefault="00E80CC8" w:rsidP="00E80CC8">
      <w:pPr>
        <w:pStyle w:val="Heading1"/>
        <w:rPr>
          <w:lang w:val="en-US"/>
        </w:rPr>
      </w:pPr>
      <w:r w:rsidRPr="00E80CC8">
        <w:rPr>
          <w:lang w:val="en-US"/>
        </w:rPr>
        <w:br w:type="page"/>
      </w:r>
      <w:bookmarkStart w:id="36" w:name="_Toc327441327"/>
      <w:bookmarkStart w:id="37" w:name="_Toc461696201"/>
      <w:bookmarkStart w:id="38" w:name="_Toc504464717"/>
      <w:r w:rsidRPr="00E80CC8">
        <w:rPr>
          <w:lang w:val="en-US"/>
        </w:rPr>
        <w:lastRenderedPageBreak/>
        <w:t>Executive Summary</w:t>
      </w:r>
      <w:bookmarkEnd w:id="36"/>
      <w:bookmarkEnd w:id="37"/>
      <w:bookmarkEnd w:id="38"/>
    </w:p>
    <w:p w:rsidR="00E80CC8" w:rsidRPr="008D11A6" w:rsidRDefault="00E80CC8" w:rsidP="008D11A6">
      <w:pPr>
        <w:pStyle w:val="Caption"/>
        <w:rPr>
          <w:lang w:val="en-US"/>
        </w:rPr>
      </w:pPr>
      <w:bookmarkStart w:id="39" w:name="_Toc325115313"/>
      <w:bookmarkStart w:id="40" w:name="_Toc327441328"/>
      <w:bookmarkStart w:id="41" w:name="_Toc458606312"/>
      <w:bookmarkStart w:id="42" w:name="_Toc458606389"/>
      <w:bookmarkStart w:id="43" w:name="_Toc458606480"/>
      <w:bookmarkStart w:id="44" w:name="_Toc461696202"/>
      <w:r w:rsidRPr="008D11A6">
        <w:rPr>
          <w:lang w:val="en-US"/>
        </w:rPr>
        <w:t>Introduction</w:t>
      </w:r>
      <w:bookmarkEnd w:id="39"/>
      <w:bookmarkEnd w:id="40"/>
      <w:bookmarkEnd w:id="41"/>
      <w:bookmarkEnd w:id="42"/>
      <w:bookmarkEnd w:id="43"/>
      <w:bookmarkEnd w:id="44"/>
    </w:p>
    <w:p w:rsidR="00E80CC8" w:rsidRPr="00E80CC8" w:rsidRDefault="00E80CC8" w:rsidP="00E80CC8">
      <w:pPr>
        <w:pStyle w:val="ListNumber"/>
        <w:rPr>
          <w:lang w:val="en-US"/>
        </w:rPr>
      </w:pPr>
      <w:r w:rsidRPr="00E80CC8">
        <w:rPr>
          <w:lang w:val="en-US"/>
        </w:rPr>
        <w:t xml:space="preserve">The 2011 Localism Act introduced neighbourhood planning, allowing </w:t>
      </w:r>
      <w:r w:rsidR="005F5CF8">
        <w:rPr>
          <w:lang w:val="en-US"/>
        </w:rPr>
        <w:t>Parish</w:t>
      </w:r>
      <w:r w:rsidRPr="00E80CC8">
        <w:rPr>
          <w:lang w:val="en-US"/>
        </w:rPr>
        <w:t>es, town councils or neighbourhood forums across England to develop and adopt legally binding development plans for their neighbourhood area</w:t>
      </w:r>
      <w:r w:rsidR="00D403D7">
        <w:rPr>
          <w:lang w:val="en-US"/>
        </w:rPr>
        <w:t>s</w:t>
      </w:r>
      <w:r w:rsidRPr="00E80CC8">
        <w:rPr>
          <w:lang w:val="en-US"/>
        </w:rPr>
        <w:t>.</w:t>
      </w:r>
    </w:p>
    <w:p w:rsidR="00E80CC8" w:rsidRPr="00E80CC8" w:rsidRDefault="00E80CC8" w:rsidP="00E80CC8">
      <w:pPr>
        <w:pStyle w:val="ListNumber"/>
        <w:rPr>
          <w:lang w:val="en-US"/>
        </w:rPr>
      </w:pPr>
      <w:r w:rsidRPr="00E80CC8">
        <w:rPr>
          <w:lang w:val="en-US"/>
        </w:rPr>
        <w:t xml:space="preserve">As more and more </w:t>
      </w:r>
      <w:r w:rsidR="00F41605">
        <w:rPr>
          <w:lang w:val="en-US"/>
        </w:rPr>
        <w:t xml:space="preserve">town or </w:t>
      </w:r>
      <w:r w:rsidR="005F5CF8">
        <w:rPr>
          <w:lang w:val="en-US"/>
        </w:rPr>
        <w:t>Parish</w:t>
      </w:r>
      <w:r w:rsidR="00F41605">
        <w:rPr>
          <w:lang w:val="en-US"/>
        </w:rPr>
        <w:t xml:space="preserve"> councils and neighbourhood forums</w:t>
      </w:r>
      <w:r w:rsidRPr="00E80CC8">
        <w:rPr>
          <w:lang w:val="en-US"/>
        </w:rPr>
        <w:t xml:space="preserve"> seek to address housing growth, including tenure and type of new housing, it has become evident that </w:t>
      </w:r>
      <w:r w:rsidR="00D403D7">
        <w:rPr>
          <w:lang w:val="en-US"/>
        </w:rPr>
        <w:t>emerging</w:t>
      </w:r>
      <w:r w:rsidR="00D403D7" w:rsidRPr="00E80CC8">
        <w:rPr>
          <w:lang w:val="en-US"/>
        </w:rPr>
        <w:t xml:space="preserve"> </w:t>
      </w:r>
      <w:r w:rsidRPr="00E80CC8">
        <w:rPr>
          <w:lang w:val="en-US"/>
        </w:rPr>
        <w:t>policies need to be underpinned by robust, objectively assessed housing data.</w:t>
      </w:r>
    </w:p>
    <w:p w:rsidR="00E80CC8" w:rsidRPr="00E80CC8" w:rsidRDefault="00E80CC8" w:rsidP="00E80CC8">
      <w:pPr>
        <w:pStyle w:val="ListNumber"/>
        <w:rPr>
          <w:lang w:val="en-US"/>
        </w:rPr>
      </w:pPr>
      <w:r w:rsidRPr="00E80CC8">
        <w:rPr>
          <w:lang w:val="en-US"/>
        </w:rPr>
        <w:t xml:space="preserve">In the words of the national Planning Practice Guidance (PPG), establishing future need for housing is not an exact science, and no single approach will provide a definitive answer. The process involves making balanced judgments, as well as gathering numbers and facts. At a neighbourhood planning level, one important consideration is determining the extent to which the neighbourhood diverges from the local authority </w:t>
      </w:r>
      <w:r w:rsidR="00E12D40">
        <w:rPr>
          <w:lang w:val="en-US"/>
        </w:rPr>
        <w:t>‘</w:t>
      </w:r>
      <w:r w:rsidRPr="00E80CC8">
        <w:rPr>
          <w:lang w:val="en-US"/>
        </w:rPr>
        <w:t>average</w:t>
      </w:r>
      <w:r w:rsidR="00E12D40">
        <w:rPr>
          <w:lang w:val="en-US"/>
        </w:rPr>
        <w:t>’ in terms of housing need</w:t>
      </w:r>
      <w:r w:rsidRPr="00E80CC8">
        <w:rPr>
          <w:lang w:val="en-US"/>
        </w:rPr>
        <w:t>, reflecting the fact that a single town or neighbourhood almost never constitutes a housing market on its own and must therefore be assessed in its wider context.</w:t>
      </w:r>
    </w:p>
    <w:p w:rsidR="00E80CC8" w:rsidRPr="00E80CC8" w:rsidRDefault="00E80CC8" w:rsidP="00E80CC8">
      <w:pPr>
        <w:pStyle w:val="ListNumber"/>
        <w:rPr>
          <w:lang w:val="en-US"/>
        </w:rPr>
      </w:pPr>
      <w:r w:rsidRPr="00E80CC8">
        <w:rPr>
          <w:lang w:val="en-US"/>
        </w:rPr>
        <w:t xml:space="preserve">The guidance quoted above on housing needs assessment is primarily aimed at local planning authorities preparing Strategic Housing Market Assessments (SHMAs), which are used to determine housing need at a </w:t>
      </w:r>
      <w:r w:rsidR="00E12D40">
        <w:rPr>
          <w:lang w:val="en-US"/>
        </w:rPr>
        <w:t>housing market area</w:t>
      </w:r>
      <w:r w:rsidRPr="00E80CC8">
        <w:rPr>
          <w:lang w:val="en-US"/>
        </w:rPr>
        <w:t xml:space="preserve"> level. However, it helpfully states that those preparing neighbourhood plans can use the guidance to identify specific local needs that may be relevant to a neighbourhood, but that any assessment at such a local level should be proportionate.</w:t>
      </w:r>
    </w:p>
    <w:p w:rsidR="00E80CC8" w:rsidRDefault="00E80CC8" w:rsidP="00E80CC8">
      <w:pPr>
        <w:pStyle w:val="ListNumber"/>
        <w:rPr>
          <w:lang w:val="en-US"/>
        </w:rPr>
      </w:pPr>
      <w:r w:rsidRPr="00E80CC8">
        <w:rPr>
          <w:lang w:val="en-US"/>
        </w:rPr>
        <w:t>Our brief was to advise on data at this m</w:t>
      </w:r>
      <w:r w:rsidR="00A21788">
        <w:rPr>
          <w:lang w:val="en-US"/>
        </w:rPr>
        <w:t xml:space="preserve">ore local level to help </w:t>
      </w:r>
      <w:r w:rsidR="008D58F1">
        <w:rPr>
          <w:lang w:val="en-US"/>
        </w:rPr>
        <w:t xml:space="preserve">West </w:t>
      </w:r>
      <w:proofErr w:type="spellStart"/>
      <w:r w:rsidR="008D58F1">
        <w:rPr>
          <w:lang w:val="en-US"/>
        </w:rPr>
        <w:t>Wittering</w:t>
      </w:r>
      <w:proofErr w:type="spellEnd"/>
      <w:r w:rsidR="008D58F1">
        <w:rPr>
          <w:lang w:val="en-US"/>
        </w:rPr>
        <w:t xml:space="preserve"> </w:t>
      </w:r>
      <w:r w:rsidR="005F5CF8">
        <w:rPr>
          <w:lang w:val="en-US"/>
        </w:rPr>
        <w:t>Parish</w:t>
      </w:r>
      <w:r w:rsidR="008A0558">
        <w:rPr>
          <w:lang w:val="en-US"/>
        </w:rPr>
        <w:t xml:space="preserve"> </w:t>
      </w:r>
      <w:r w:rsidRPr="00E80CC8">
        <w:rPr>
          <w:lang w:val="en-US"/>
        </w:rPr>
        <w:t xml:space="preserve">Council </w:t>
      </w:r>
      <w:r w:rsidR="00B50BCE">
        <w:rPr>
          <w:lang w:val="en-US"/>
        </w:rPr>
        <w:t xml:space="preserve">(WWPC) </w:t>
      </w:r>
      <w:r w:rsidRPr="00E80CC8">
        <w:rPr>
          <w:lang w:val="en-US"/>
        </w:rPr>
        <w:t xml:space="preserve">understand, among other matters, the type, tenure and quantity of housing needed </w:t>
      </w:r>
      <w:r w:rsidR="00E12D40">
        <w:rPr>
          <w:lang w:val="en-US"/>
        </w:rPr>
        <w:t xml:space="preserve">in their area </w:t>
      </w:r>
      <w:r w:rsidRPr="00E80CC8">
        <w:rPr>
          <w:lang w:val="en-US"/>
        </w:rPr>
        <w:t xml:space="preserve">to inform </w:t>
      </w:r>
      <w:r w:rsidR="00E12D40">
        <w:rPr>
          <w:lang w:val="en-US"/>
        </w:rPr>
        <w:t xml:space="preserve">the development of evidence-based </w:t>
      </w:r>
      <w:r w:rsidRPr="00E80CC8">
        <w:rPr>
          <w:lang w:val="en-US"/>
        </w:rPr>
        <w:t>neighbourhood plan policies.</w:t>
      </w:r>
    </w:p>
    <w:p w:rsidR="008D11A6" w:rsidRPr="00E80CC8" w:rsidRDefault="008D11A6" w:rsidP="008D11A6">
      <w:pPr>
        <w:pStyle w:val="ListNumber"/>
        <w:numPr>
          <w:ilvl w:val="0"/>
          <w:numId w:val="0"/>
        </w:numPr>
        <w:ind w:left="425"/>
        <w:rPr>
          <w:lang w:val="en-US"/>
        </w:rPr>
      </w:pPr>
    </w:p>
    <w:p w:rsidR="00E80CC8" w:rsidRPr="00E80CC8" w:rsidRDefault="00E80CC8" w:rsidP="008D11A6">
      <w:pPr>
        <w:pStyle w:val="Caption"/>
        <w:rPr>
          <w:lang w:val="en-US"/>
        </w:rPr>
      </w:pPr>
      <w:bookmarkStart w:id="45" w:name="_Toc458606313"/>
      <w:bookmarkStart w:id="46" w:name="_Toc458606390"/>
      <w:bookmarkStart w:id="47" w:name="_Toc458606481"/>
      <w:bookmarkStart w:id="48" w:name="_Toc461696203"/>
      <w:r w:rsidRPr="00E80CC8">
        <w:rPr>
          <w:lang w:val="en-US"/>
        </w:rPr>
        <w:t>PPG-</w:t>
      </w:r>
      <w:r w:rsidR="00E12D40">
        <w:rPr>
          <w:lang w:val="en-US"/>
        </w:rPr>
        <w:t>b</w:t>
      </w:r>
      <w:r w:rsidRPr="00E80CC8">
        <w:rPr>
          <w:lang w:val="en-US"/>
        </w:rPr>
        <w:t xml:space="preserve">ased </w:t>
      </w:r>
      <w:r w:rsidR="00E12D40">
        <w:rPr>
          <w:lang w:val="en-US"/>
        </w:rPr>
        <w:t>a</w:t>
      </w:r>
      <w:r w:rsidRPr="00E80CC8">
        <w:rPr>
          <w:lang w:val="en-US"/>
        </w:rPr>
        <w:t>ssessment</w:t>
      </w:r>
      <w:bookmarkEnd w:id="45"/>
      <w:bookmarkEnd w:id="46"/>
      <w:bookmarkEnd w:id="47"/>
      <w:bookmarkEnd w:id="48"/>
    </w:p>
    <w:p w:rsidR="00E80CC8" w:rsidRPr="008D11A6" w:rsidRDefault="00E80CC8" w:rsidP="00E80CC8">
      <w:pPr>
        <w:pStyle w:val="ListNumber"/>
      </w:pPr>
      <w:r w:rsidRPr="00E80CC8">
        <w:t>This objective and independent housing needs advice note follows the PPG approach where relevant. This ensures our findings are appropriately evidenced. The PPG advises that assessment of development needs should be thorough but proportionate and does not require planners to consider purely hypothetical future scenarios, only future scenarios that could be reasonably expected</w:t>
      </w:r>
      <w:r w:rsidRPr="008D11A6">
        <w:t xml:space="preserve"> to occur.</w:t>
      </w:r>
    </w:p>
    <w:p w:rsidR="008D11A6" w:rsidRPr="00E80CC8" w:rsidRDefault="008D11A6" w:rsidP="008D11A6">
      <w:pPr>
        <w:pStyle w:val="ListNumber"/>
        <w:numPr>
          <w:ilvl w:val="0"/>
          <w:numId w:val="0"/>
        </w:numPr>
        <w:ind w:left="425"/>
        <w:rPr>
          <w:bCs/>
          <w:iCs/>
          <w:sz w:val="22"/>
          <w:szCs w:val="22"/>
          <w:lang w:val="en-US"/>
        </w:rPr>
      </w:pPr>
    </w:p>
    <w:p w:rsidR="00E80CC8" w:rsidRPr="008D11A6" w:rsidRDefault="00E80CC8" w:rsidP="008D11A6">
      <w:pPr>
        <w:pStyle w:val="Caption"/>
        <w:rPr>
          <w:lang w:val="en-US"/>
        </w:rPr>
      </w:pPr>
      <w:bookmarkStart w:id="49" w:name="_Toc458606314"/>
      <w:bookmarkStart w:id="50" w:name="_Toc458606391"/>
      <w:bookmarkStart w:id="51" w:name="_Toc458606482"/>
      <w:bookmarkStart w:id="52" w:name="_Toc461696204"/>
      <w:r w:rsidRPr="008D11A6">
        <w:rPr>
          <w:lang w:val="en-US"/>
        </w:rPr>
        <w:t>Summary of Methodology</w:t>
      </w:r>
      <w:bookmarkEnd w:id="49"/>
      <w:bookmarkEnd w:id="50"/>
      <w:bookmarkEnd w:id="51"/>
      <w:bookmarkEnd w:id="52"/>
    </w:p>
    <w:p w:rsidR="00E80CC8" w:rsidRPr="00E80CC8" w:rsidRDefault="00E80CC8" w:rsidP="00E80CC8">
      <w:pPr>
        <w:pStyle w:val="ListNumber"/>
        <w:rPr>
          <w:lang w:val="en-US"/>
        </w:rPr>
      </w:pPr>
      <w:r w:rsidRPr="00E80CC8">
        <w:rPr>
          <w:lang w:val="en-US"/>
        </w:rPr>
        <w:t xml:space="preserve">Housing Needs Assessment at neighbourhood plan level can be focused either on quantity of housing needed, type of housing need, or both. In most cases, there is a need to focus on quantity where the housing target for the </w:t>
      </w:r>
      <w:r w:rsidR="000375DA">
        <w:rPr>
          <w:lang w:val="en-US"/>
        </w:rPr>
        <w:t xml:space="preserve">area </w:t>
      </w:r>
      <w:r w:rsidRPr="00E80CC8">
        <w:rPr>
          <w:lang w:val="en-US"/>
        </w:rPr>
        <w:t>being assessed is unclear, for example where the local authority has not set a specific target for the settlement, or where there is no local plan in place.</w:t>
      </w:r>
    </w:p>
    <w:p w:rsidR="00E80CC8" w:rsidRDefault="00E80CC8" w:rsidP="00E80CC8">
      <w:pPr>
        <w:pStyle w:val="ListNumber"/>
        <w:rPr>
          <w:lang w:val="en-US"/>
        </w:rPr>
      </w:pPr>
      <w:r w:rsidRPr="00E858D8">
        <w:rPr>
          <w:lang w:val="en-US"/>
        </w:rPr>
        <w:t xml:space="preserve">In the case of </w:t>
      </w:r>
      <w:r w:rsidR="00B50BCE">
        <w:rPr>
          <w:lang w:val="en-US"/>
        </w:rPr>
        <w:t>WWPC</w:t>
      </w:r>
      <w:r w:rsidRPr="00E858D8">
        <w:rPr>
          <w:lang w:val="en-US"/>
        </w:rPr>
        <w:t xml:space="preserve">, the current adopted Development Plan, the </w:t>
      </w:r>
      <w:proofErr w:type="spellStart"/>
      <w:r w:rsidR="008D58F1">
        <w:rPr>
          <w:lang w:val="en-US"/>
        </w:rPr>
        <w:t>Chichester</w:t>
      </w:r>
      <w:proofErr w:type="spellEnd"/>
      <w:r w:rsidR="008D58F1">
        <w:rPr>
          <w:lang w:val="en-US"/>
        </w:rPr>
        <w:t xml:space="preserve"> Local Plan (C</w:t>
      </w:r>
      <w:r w:rsidRPr="00E858D8">
        <w:rPr>
          <w:lang w:val="en-US"/>
        </w:rPr>
        <w:t xml:space="preserve">LP), identifies a target of </w:t>
      </w:r>
      <w:r w:rsidR="008D58F1">
        <w:rPr>
          <w:lang w:val="en-US"/>
        </w:rPr>
        <w:t>50</w:t>
      </w:r>
      <w:r w:rsidRPr="00E858D8">
        <w:rPr>
          <w:lang w:val="en-US"/>
        </w:rPr>
        <w:t xml:space="preserve"> dwellings for the </w:t>
      </w:r>
      <w:r w:rsidR="005F5CF8">
        <w:rPr>
          <w:lang w:val="en-US"/>
        </w:rPr>
        <w:t>Parish</w:t>
      </w:r>
      <w:r w:rsidR="008D58F1">
        <w:rPr>
          <w:lang w:val="en-US"/>
        </w:rPr>
        <w:t xml:space="preserve"> to be delivered over the </w:t>
      </w:r>
      <w:r w:rsidR="000375DA">
        <w:rPr>
          <w:lang w:val="en-US"/>
        </w:rPr>
        <w:t>Plan period</w:t>
      </w:r>
      <w:r w:rsidR="008D58F1">
        <w:rPr>
          <w:lang w:val="en-US"/>
        </w:rPr>
        <w:t xml:space="preserve"> of 2012-2029</w:t>
      </w:r>
      <w:r w:rsidR="00D6575C">
        <w:rPr>
          <w:lang w:val="en-US"/>
        </w:rPr>
        <w:t>.</w:t>
      </w:r>
      <w:r w:rsidR="008D58F1">
        <w:rPr>
          <w:rStyle w:val="FootnoteReference"/>
          <w:lang w:val="en-US"/>
        </w:rPr>
        <w:footnoteReference w:id="1"/>
      </w:r>
      <w:r w:rsidRPr="00E858D8">
        <w:rPr>
          <w:lang w:val="en-US"/>
        </w:rPr>
        <w:t xml:space="preserve"> As a plan that post-dates the National Planning Policy Framework, this should be used as a </w:t>
      </w:r>
      <w:r w:rsidR="00D6575C">
        <w:rPr>
          <w:lang w:val="en-US"/>
        </w:rPr>
        <w:t xml:space="preserve">firm </w:t>
      </w:r>
      <w:r w:rsidRPr="00E858D8">
        <w:rPr>
          <w:lang w:val="en-US"/>
        </w:rPr>
        <w:t>guid</w:t>
      </w:r>
      <w:r w:rsidR="00D6575C">
        <w:rPr>
          <w:lang w:val="en-US"/>
        </w:rPr>
        <w:t>e</w:t>
      </w:r>
      <w:r w:rsidRPr="00E858D8">
        <w:rPr>
          <w:lang w:val="en-US"/>
        </w:rPr>
        <w:t xml:space="preserve"> on housing numbers. </w:t>
      </w:r>
    </w:p>
    <w:p w:rsidR="008D58F1" w:rsidRPr="00E858D8" w:rsidRDefault="008D58F1" w:rsidP="008D58F1">
      <w:pPr>
        <w:pStyle w:val="ListNumber"/>
        <w:rPr>
          <w:lang w:val="en-US"/>
        </w:rPr>
      </w:pPr>
      <w:r>
        <w:rPr>
          <w:lang w:val="en-US"/>
        </w:rPr>
        <w:t xml:space="preserve">However, </w:t>
      </w:r>
      <w:proofErr w:type="spellStart"/>
      <w:r>
        <w:rPr>
          <w:lang w:val="en-US"/>
        </w:rPr>
        <w:t>Chichester</w:t>
      </w:r>
      <w:proofErr w:type="spellEnd"/>
      <w:r>
        <w:rPr>
          <w:lang w:val="en-US"/>
        </w:rPr>
        <w:t xml:space="preserve"> </w:t>
      </w:r>
      <w:r w:rsidR="005F5CF8">
        <w:rPr>
          <w:lang w:val="en-US"/>
        </w:rPr>
        <w:t>District</w:t>
      </w:r>
      <w:r>
        <w:rPr>
          <w:lang w:val="en-US"/>
        </w:rPr>
        <w:t xml:space="preserve"> Council (CDC) is in the process of developing a new local plan and, while they are </w:t>
      </w:r>
      <w:r w:rsidR="00D6575C">
        <w:rPr>
          <w:lang w:val="en-US"/>
        </w:rPr>
        <w:t>committed</w:t>
      </w:r>
      <w:r>
        <w:rPr>
          <w:lang w:val="en-US"/>
        </w:rPr>
        <w:t xml:space="preserve"> to providing the </w:t>
      </w:r>
      <w:r w:rsidR="005F5CF8">
        <w:rPr>
          <w:lang w:val="en-US"/>
        </w:rPr>
        <w:t>Parish</w:t>
      </w:r>
      <w:r>
        <w:rPr>
          <w:lang w:val="en-US"/>
        </w:rPr>
        <w:t xml:space="preserve"> with </w:t>
      </w:r>
      <w:proofErr w:type="gramStart"/>
      <w:r>
        <w:rPr>
          <w:lang w:val="en-US"/>
        </w:rPr>
        <w:t>a housing</w:t>
      </w:r>
      <w:proofErr w:type="gramEnd"/>
      <w:r>
        <w:rPr>
          <w:lang w:val="en-US"/>
        </w:rPr>
        <w:t xml:space="preserve"> needs figure, this has not yet been communicated. As such, </w:t>
      </w:r>
      <w:r w:rsidRPr="008D58F1">
        <w:rPr>
          <w:lang w:val="en-US"/>
        </w:rPr>
        <w:t>WWPC wishes to generate their own assessment to ensure the final number used to support policies in their plan provides adequately for the future needs of the community, particularly in relation to the provision of dwellings suited to the needs of young people and families from the area to wish to continue to live there.</w:t>
      </w:r>
    </w:p>
    <w:p w:rsidR="00E80CC8" w:rsidRPr="00B50BCE" w:rsidRDefault="00B50BCE" w:rsidP="00B50BCE">
      <w:pPr>
        <w:pStyle w:val="ListNumber"/>
        <w:rPr>
          <w:lang w:val="en-US"/>
        </w:rPr>
      </w:pPr>
      <w:r>
        <w:rPr>
          <w:lang w:val="en-US"/>
        </w:rPr>
        <w:t>In arriving at the final number</w:t>
      </w:r>
      <w:r w:rsidR="00DA3E48">
        <w:rPr>
          <w:lang w:val="en-US"/>
        </w:rPr>
        <w:t>,</w:t>
      </w:r>
      <w:r>
        <w:rPr>
          <w:lang w:val="en-US"/>
        </w:rPr>
        <w:t xml:space="preserve"> it is important to note that</w:t>
      </w:r>
      <w:r w:rsidR="00E80CC8" w:rsidRPr="00E80CC8">
        <w:rPr>
          <w:lang w:val="en-US"/>
        </w:rPr>
        <w:t xml:space="preserve"> neighbourhood plans need to </w:t>
      </w:r>
      <w:r w:rsidR="0029198A">
        <w:rPr>
          <w:lang w:val="en-US"/>
        </w:rPr>
        <w:t>meet</w:t>
      </w:r>
      <w:r w:rsidR="00E80CC8" w:rsidRPr="00E80CC8">
        <w:rPr>
          <w:lang w:val="en-US"/>
        </w:rPr>
        <w:t xml:space="preserve"> a number of Basic Conditions </w:t>
      </w:r>
      <w:r w:rsidR="0029198A">
        <w:rPr>
          <w:szCs w:val="24"/>
          <w:lang w:val="en-US"/>
        </w:rPr>
        <w:t>(tested through independent examination)</w:t>
      </w:r>
      <w:r w:rsidR="0029198A" w:rsidRPr="000B75FC">
        <w:rPr>
          <w:szCs w:val="24"/>
          <w:lang w:val="en-US"/>
        </w:rPr>
        <w:t xml:space="preserve"> </w:t>
      </w:r>
      <w:r w:rsidR="00DA3E48">
        <w:rPr>
          <w:szCs w:val="24"/>
          <w:lang w:val="en-US"/>
        </w:rPr>
        <w:t xml:space="preserve">in order </w:t>
      </w:r>
      <w:r w:rsidR="00E80CC8" w:rsidRPr="00E80CC8">
        <w:rPr>
          <w:lang w:val="en-US"/>
        </w:rPr>
        <w:t>to be ‘made’ by the LPA. One of these, Basic Condition E, requires the Neighbourhood Plan to be in ‘general conformity with the strategic policies’ of the Local Plan</w:t>
      </w:r>
      <w:r w:rsidR="00DA3E48">
        <w:rPr>
          <w:lang w:val="en-US"/>
        </w:rPr>
        <w:t xml:space="preserve">.  In </w:t>
      </w:r>
      <w:r w:rsidR="00E80CC8" w:rsidRPr="00E80CC8">
        <w:rPr>
          <w:lang w:val="en-US"/>
        </w:rPr>
        <w:t>this case</w:t>
      </w:r>
      <w:r w:rsidR="00DA3E48">
        <w:rPr>
          <w:lang w:val="en-US"/>
        </w:rPr>
        <w:t>, this equates to</w:t>
      </w:r>
      <w:r w:rsidR="00E80CC8" w:rsidRPr="00E80CC8">
        <w:rPr>
          <w:lang w:val="en-US"/>
        </w:rPr>
        <w:t xml:space="preserve"> the </w:t>
      </w:r>
      <w:r>
        <w:t xml:space="preserve">CLP and the emerging Local Plan once it has been adopted by the CDC (moreover, it is important </w:t>
      </w:r>
      <w:r w:rsidR="00DA3E48">
        <w:t xml:space="preserve">that </w:t>
      </w:r>
      <w:r>
        <w:t xml:space="preserve">WWPC is mindful of the direction of travel of the emerging Local Plan both to influence this document </w:t>
      </w:r>
      <w:r>
        <w:lastRenderedPageBreak/>
        <w:t>and</w:t>
      </w:r>
      <w:r w:rsidR="00DA3E48">
        <w:t>,</w:t>
      </w:r>
      <w:r>
        <w:t xml:space="preserve"> given that, once adopted, the neighbourhood plan policies will need to satisfy Condition E</w:t>
      </w:r>
      <w:r w:rsidR="00DA3E48">
        <w:t>)</w:t>
      </w:r>
      <w:r>
        <w:t xml:space="preserve">. </w:t>
      </w:r>
      <w:r w:rsidRPr="00B50BCE">
        <w:rPr>
          <w:lang w:val="en-US"/>
        </w:rPr>
        <w:t>The</w:t>
      </w:r>
      <w:r w:rsidR="00DA3E48">
        <w:rPr>
          <w:lang w:val="en-US"/>
        </w:rPr>
        <w:t xml:space="preserve"> PPG</w:t>
      </w:r>
      <w:r w:rsidRPr="00B50BCE">
        <w:rPr>
          <w:lang w:val="en-US"/>
        </w:rPr>
        <w:t xml:space="preserve"> indicates that the level of housing development is likely to count as a strategic policy.</w:t>
      </w:r>
      <w:r w:rsidRPr="00E80CC8">
        <w:rPr>
          <w:vertAlign w:val="superscript"/>
          <w:lang w:val="en-US"/>
        </w:rPr>
        <w:footnoteReference w:id="2"/>
      </w:r>
    </w:p>
    <w:p w:rsidR="00E80CC8" w:rsidRPr="00E80CC8" w:rsidRDefault="00E80CC8" w:rsidP="00E80CC8">
      <w:pPr>
        <w:pStyle w:val="ListNumber"/>
        <w:rPr>
          <w:lang w:val="en-US"/>
        </w:rPr>
      </w:pPr>
      <w:r w:rsidRPr="00E80CC8">
        <w:rPr>
          <w:lang w:val="en-US"/>
        </w:rPr>
        <w:t xml:space="preserve">In terms of the types of housing needed, there is generally more flexibility on what neighbourhood plans can </w:t>
      </w:r>
      <w:r w:rsidR="008D1D1E">
        <w:rPr>
          <w:lang w:val="en-US"/>
        </w:rPr>
        <w:t>include</w:t>
      </w:r>
      <w:r w:rsidRPr="00E80CC8">
        <w:rPr>
          <w:lang w:val="en-US"/>
        </w:rPr>
        <w:t xml:space="preserve">. In order to understand the types of housing needed in </w:t>
      </w:r>
      <w:r w:rsidR="00B50BCE">
        <w:rPr>
          <w:lang w:val="en-US"/>
        </w:rPr>
        <w:t>WWPC</w:t>
      </w:r>
      <w:r w:rsidRPr="00E80CC8">
        <w:rPr>
          <w:lang w:val="en-US"/>
        </w:rPr>
        <w:t>, we have gathered a wide range of local evidence and summarised it into policy recommendations designed to inform decisions on housing quantity and characteristics.</w:t>
      </w:r>
    </w:p>
    <w:p w:rsidR="00E80CC8" w:rsidRPr="000A1903" w:rsidRDefault="00B50BCE" w:rsidP="00E80CC8">
      <w:pPr>
        <w:pStyle w:val="ListNumber"/>
        <w:rPr>
          <w:color w:val="000000" w:themeColor="text1"/>
          <w:lang w:val="en-US"/>
        </w:rPr>
      </w:pPr>
      <w:r>
        <w:rPr>
          <w:lang w:val="en-US"/>
        </w:rPr>
        <w:t>It is also important to arrive at a</w:t>
      </w:r>
      <w:r w:rsidR="001269E7">
        <w:rPr>
          <w:lang w:val="en-US"/>
        </w:rPr>
        <w:t>n appropriate</w:t>
      </w:r>
      <w:r>
        <w:rPr>
          <w:lang w:val="en-US"/>
        </w:rPr>
        <w:t xml:space="preserve"> Plan period for the neighbourhood plan so as to be able to gather data and carry out calculations that are critical to this HNA. We have been advised by WWPC of a Plan period of </w:t>
      </w:r>
      <w:r w:rsidR="00065DBF">
        <w:rPr>
          <w:lang w:val="en-US"/>
        </w:rPr>
        <w:t xml:space="preserve">fifteen years, with a </w:t>
      </w:r>
      <w:r w:rsidR="00065DBF" w:rsidRPr="000A1903">
        <w:rPr>
          <w:color w:val="000000" w:themeColor="text1"/>
          <w:lang w:val="en-US"/>
        </w:rPr>
        <w:t xml:space="preserve">base year of 2018. The </w:t>
      </w:r>
      <w:proofErr w:type="spellStart"/>
      <w:r w:rsidR="001269E7">
        <w:rPr>
          <w:color w:val="000000" w:themeColor="text1"/>
          <w:lang w:val="en-US"/>
        </w:rPr>
        <w:t>p</w:t>
      </w:r>
      <w:r w:rsidR="000375DA">
        <w:rPr>
          <w:color w:val="000000" w:themeColor="text1"/>
          <w:lang w:val="en-US"/>
        </w:rPr>
        <w:t>Plan</w:t>
      </w:r>
      <w:proofErr w:type="spellEnd"/>
      <w:r w:rsidR="000375DA">
        <w:rPr>
          <w:color w:val="000000" w:themeColor="text1"/>
          <w:lang w:val="en-US"/>
        </w:rPr>
        <w:t xml:space="preserve"> period</w:t>
      </w:r>
      <w:r w:rsidR="00065DBF" w:rsidRPr="000A1903">
        <w:rPr>
          <w:color w:val="000000" w:themeColor="text1"/>
          <w:lang w:val="en-US"/>
        </w:rPr>
        <w:t xml:space="preserve"> we have used for the purposes of this HNA is therefore</w:t>
      </w:r>
      <w:r w:rsidRPr="000A1903">
        <w:rPr>
          <w:color w:val="000000" w:themeColor="text1"/>
          <w:lang w:val="en-US"/>
        </w:rPr>
        <w:t xml:space="preserve"> 2018-2033. </w:t>
      </w:r>
    </w:p>
    <w:p w:rsidR="000A1903" w:rsidRPr="000A1903" w:rsidRDefault="000A1903" w:rsidP="000A1903">
      <w:pPr>
        <w:pStyle w:val="ListNumber"/>
        <w:rPr>
          <w:color w:val="000000" w:themeColor="text1"/>
        </w:rPr>
      </w:pPr>
      <w:r w:rsidRPr="000A1903">
        <w:rPr>
          <w:color w:val="000000" w:themeColor="text1"/>
          <w:lang w:val="en-US"/>
        </w:rPr>
        <w:t xml:space="preserve">In order to understand the types of housing needed in West </w:t>
      </w:r>
      <w:proofErr w:type="spellStart"/>
      <w:r w:rsidRPr="000A1903">
        <w:rPr>
          <w:color w:val="000000" w:themeColor="text1"/>
          <w:lang w:val="en-US"/>
        </w:rPr>
        <w:t>Wittering</w:t>
      </w:r>
      <w:proofErr w:type="spellEnd"/>
      <w:r w:rsidR="001269E7">
        <w:rPr>
          <w:color w:val="000000" w:themeColor="text1"/>
          <w:lang w:val="en-US"/>
        </w:rPr>
        <w:t>,</w:t>
      </w:r>
      <w:r w:rsidRPr="000A1903">
        <w:rPr>
          <w:color w:val="000000" w:themeColor="text1"/>
          <w:lang w:val="en-US"/>
        </w:rPr>
        <w:t xml:space="preserve"> we have gathered a wide range of local evidence </w:t>
      </w:r>
      <w:proofErr w:type="gramStart"/>
      <w:r w:rsidRPr="000A1903">
        <w:rPr>
          <w:color w:val="000000" w:themeColor="text1"/>
          <w:lang w:val="en-US"/>
        </w:rPr>
        <w:t xml:space="preserve">and </w:t>
      </w:r>
      <w:r w:rsidR="001269E7">
        <w:rPr>
          <w:color w:val="000000" w:themeColor="text1"/>
          <w:lang w:val="en-US"/>
        </w:rPr>
        <w:t xml:space="preserve"> distilled</w:t>
      </w:r>
      <w:proofErr w:type="gramEnd"/>
      <w:r w:rsidR="001269E7">
        <w:rPr>
          <w:color w:val="000000" w:themeColor="text1"/>
          <w:lang w:val="en-US"/>
        </w:rPr>
        <w:t xml:space="preserve"> this </w:t>
      </w:r>
      <w:r w:rsidRPr="000A1903">
        <w:rPr>
          <w:color w:val="000000" w:themeColor="text1"/>
          <w:lang w:val="en-US"/>
        </w:rPr>
        <w:t xml:space="preserve">into </w:t>
      </w:r>
      <w:r w:rsidR="001269E7">
        <w:rPr>
          <w:color w:val="000000" w:themeColor="text1"/>
          <w:lang w:val="en-US"/>
        </w:rPr>
        <w:t xml:space="preserve">a series of </w:t>
      </w:r>
      <w:r w:rsidRPr="000A1903">
        <w:rPr>
          <w:color w:val="000000" w:themeColor="text1"/>
          <w:lang w:val="en-US"/>
        </w:rPr>
        <w:t xml:space="preserve">policy recommendations designed to inform decisions on housing characteristics. </w:t>
      </w:r>
    </w:p>
    <w:p w:rsidR="000A1903" w:rsidRPr="00E80CC8" w:rsidRDefault="000A1903" w:rsidP="000A1903">
      <w:pPr>
        <w:pStyle w:val="ListNumber"/>
        <w:rPr>
          <w:lang w:val="en-US"/>
        </w:rPr>
      </w:pPr>
      <w:r w:rsidRPr="00E80CC8">
        <w:rPr>
          <w:lang w:val="en-US"/>
        </w:rPr>
        <w:t>Our approach is to provide advice on the housing required based on need and/or demand rather than supply. This is in line with the PPG, which states that ‘</w:t>
      </w:r>
      <w:r w:rsidRPr="00E80CC8">
        <w:rPr>
          <w:i/>
          <w:lang w:val="en-US"/>
        </w:rPr>
        <w:t>the assessment of development needs should be an objective assessment of need based on facts and unbiased evidence. Plan makers should not apply constraints to the overall assessment of need, such as limitations imposed by the supply of land for new development, historic under performance, viability, infrastructure or environmental constraints</w:t>
      </w:r>
      <w:r w:rsidRPr="00E80CC8">
        <w:rPr>
          <w:lang w:val="en-US"/>
        </w:rPr>
        <w:t>.’</w:t>
      </w:r>
      <w:r>
        <w:rPr>
          <w:rStyle w:val="FootnoteReference"/>
          <w:lang w:val="en-US"/>
        </w:rPr>
        <w:footnoteReference w:id="3"/>
      </w:r>
    </w:p>
    <w:p w:rsidR="000A1903" w:rsidRPr="00853CC9" w:rsidRDefault="000A1903" w:rsidP="000A1903">
      <w:pPr>
        <w:pStyle w:val="ListNumber"/>
        <w:rPr>
          <w:lang w:val="en-US"/>
        </w:rPr>
      </w:pPr>
      <w:r w:rsidRPr="00E80CC8">
        <w:rPr>
          <w:lang w:val="en-US"/>
        </w:rPr>
        <w:t xml:space="preserve">For this reason, we advise that the conclusions of this report should be assessed against supply-side considerations (including, for example, factors such as transport infrastructure, landscape constraints, flood risk and so on) as a separate and follow-on </w:t>
      </w:r>
      <w:r>
        <w:rPr>
          <w:lang w:val="en-US"/>
        </w:rPr>
        <w:t>exercise</w:t>
      </w:r>
      <w:r w:rsidR="008F1C1B">
        <w:rPr>
          <w:lang w:val="en-US"/>
        </w:rPr>
        <w:t>.</w:t>
      </w:r>
      <w:r w:rsidRPr="00E80CC8">
        <w:rPr>
          <w:vertAlign w:val="superscript"/>
          <w:lang w:val="en-US"/>
        </w:rPr>
        <w:footnoteReference w:id="4"/>
      </w:r>
    </w:p>
    <w:p w:rsidR="008D11A6" w:rsidRPr="00E80CC8" w:rsidRDefault="008D11A6" w:rsidP="008D11A6">
      <w:pPr>
        <w:pStyle w:val="ListNumber"/>
        <w:numPr>
          <w:ilvl w:val="0"/>
          <w:numId w:val="0"/>
        </w:numPr>
        <w:ind w:left="425"/>
        <w:rPr>
          <w:lang w:val="en-US"/>
        </w:rPr>
      </w:pPr>
    </w:p>
    <w:p w:rsidR="00E80CC8" w:rsidRPr="00E80CC8" w:rsidRDefault="00E80CC8" w:rsidP="008D11A6">
      <w:pPr>
        <w:pStyle w:val="Caption"/>
        <w:rPr>
          <w:lang w:val="en-US"/>
        </w:rPr>
      </w:pPr>
      <w:bookmarkStart w:id="53" w:name="_Toc328744739"/>
      <w:bookmarkStart w:id="54" w:name="_Toc325115315"/>
      <w:bookmarkStart w:id="55" w:name="_Toc327441329"/>
      <w:bookmarkStart w:id="56" w:name="_Toc458606317"/>
      <w:bookmarkStart w:id="57" w:name="_Toc458606394"/>
      <w:bookmarkStart w:id="58" w:name="_Toc458606485"/>
      <w:bookmarkStart w:id="59" w:name="_Toc461696207"/>
      <w:r w:rsidRPr="00E80CC8">
        <w:rPr>
          <w:lang w:val="en-US"/>
        </w:rPr>
        <w:t xml:space="preserve">Quantity of </w:t>
      </w:r>
      <w:r w:rsidR="008F1C1B">
        <w:rPr>
          <w:lang w:val="en-US"/>
        </w:rPr>
        <w:t>h</w:t>
      </w:r>
      <w:r w:rsidRPr="00E80CC8">
        <w:rPr>
          <w:lang w:val="en-US"/>
        </w:rPr>
        <w:t xml:space="preserve">ousing </w:t>
      </w:r>
      <w:r w:rsidR="008F1C1B">
        <w:rPr>
          <w:lang w:val="en-US"/>
        </w:rPr>
        <w:t>n</w:t>
      </w:r>
      <w:r w:rsidRPr="00E80CC8">
        <w:rPr>
          <w:lang w:val="en-US"/>
        </w:rPr>
        <w:t>eeded</w:t>
      </w:r>
      <w:bookmarkEnd w:id="53"/>
    </w:p>
    <w:p w:rsidR="00E80CC8" w:rsidRPr="00E80CC8" w:rsidRDefault="00E80CC8" w:rsidP="00E80CC8">
      <w:pPr>
        <w:pStyle w:val="ListNumber"/>
        <w:rPr>
          <w:lang w:val="en-US"/>
        </w:rPr>
      </w:pPr>
      <w:r w:rsidRPr="00E80CC8">
        <w:rPr>
          <w:lang w:val="en-US"/>
        </w:rPr>
        <w:t xml:space="preserve">Our assessment of a wide range of data sources identified </w:t>
      </w:r>
      <w:r w:rsidR="000349EF">
        <w:rPr>
          <w:lang w:val="en-US"/>
        </w:rPr>
        <w:t>four</w:t>
      </w:r>
      <w:r w:rsidRPr="00E80CC8">
        <w:rPr>
          <w:lang w:val="en-US"/>
        </w:rPr>
        <w:t xml:space="preserve"> separate projections of dwelling numbers for </w:t>
      </w:r>
      <w:r w:rsidR="00A302A7">
        <w:rPr>
          <w:lang w:val="en-US"/>
        </w:rPr>
        <w:t xml:space="preserve">WWPC </w:t>
      </w:r>
      <w:r w:rsidRPr="00E80CC8">
        <w:rPr>
          <w:lang w:val="en-US"/>
        </w:rPr>
        <w:t xml:space="preserve">between </w:t>
      </w:r>
      <w:r w:rsidR="00A302A7">
        <w:rPr>
          <w:lang w:val="en-US"/>
        </w:rPr>
        <w:t>2018</w:t>
      </w:r>
      <w:r w:rsidR="001B1A5F">
        <w:rPr>
          <w:lang w:val="en-US"/>
        </w:rPr>
        <w:t xml:space="preserve"> </w:t>
      </w:r>
      <w:r w:rsidRPr="00E80CC8">
        <w:rPr>
          <w:lang w:val="en-US"/>
        </w:rPr>
        <w:t xml:space="preserve"> and </w:t>
      </w:r>
      <w:r w:rsidR="00A302A7">
        <w:rPr>
          <w:lang w:val="en-US"/>
        </w:rPr>
        <w:t>2033</w:t>
      </w:r>
      <w:r w:rsidR="008F1C1B">
        <w:rPr>
          <w:lang w:val="en-US"/>
        </w:rPr>
        <w:t>:</w:t>
      </w:r>
      <w:r w:rsidR="00A302A7">
        <w:rPr>
          <w:lang w:val="en-US"/>
        </w:rPr>
        <w:t xml:space="preserve"> </w:t>
      </w:r>
    </w:p>
    <w:p w:rsidR="000349EF" w:rsidRPr="002F1F02" w:rsidRDefault="000349EF" w:rsidP="00FC4BB9">
      <w:pPr>
        <w:pStyle w:val="ListNumber"/>
        <w:numPr>
          <w:ilvl w:val="3"/>
          <w:numId w:val="15"/>
        </w:numPr>
        <w:tabs>
          <w:tab w:val="clear" w:pos="1700"/>
          <w:tab w:val="num" w:pos="1134"/>
        </w:tabs>
        <w:ind w:left="1134" w:hanging="283"/>
      </w:pPr>
      <w:r w:rsidRPr="002F1F02">
        <w:t xml:space="preserve">Chichester Local Plan minimum derived figure generates a target of </w:t>
      </w:r>
      <w:r w:rsidRPr="002F1F02">
        <w:rPr>
          <w:b/>
        </w:rPr>
        <w:t xml:space="preserve">139 </w:t>
      </w:r>
      <w:r w:rsidRPr="002F1F02">
        <w:t xml:space="preserve">dwellings over the </w:t>
      </w:r>
      <w:r w:rsidR="000375DA">
        <w:t>Plan period</w:t>
      </w:r>
      <w:r w:rsidRPr="002F1F02">
        <w:t xml:space="preserve"> 2018-2033, or </w:t>
      </w:r>
      <w:r>
        <w:t>9</w:t>
      </w:r>
      <w:r w:rsidR="00704CF8">
        <w:t xml:space="preserve"> dwellings per annum (</w:t>
      </w:r>
      <w:proofErr w:type="spellStart"/>
      <w:r w:rsidRPr="002F1F02">
        <w:t>dpa</w:t>
      </w:r>
      <w:proofErr w:type="spellEnd"/>
      <w:r w:rsidR="00704CF8">
        <w:t>)</w:t>
      </w:r>
      <w:r w:rsidRPr="002F1F02">
        <w:t>;</w:t>
      </w:r>
    </w:p>
    <w:p w:rsidR="000349EF" w:rsidRPr="002F1F02" w:rsidRDefault="000349EF" w:rsidP="00FC4BB9">
      <w:pPr>
        <w:pStyle w:val="ListNumber"/>
        <w:numPr>
          <w:ilvl w:val="3"/>
          <w:numId w:val="15"/>
        </w:numPr>
        <w:tabs>
          <w:tab w:val="clear" w:pos="1700"/>
          <w:tab w:val="num" w:pos="1134"/>
        </w:tabs>
        <w:ind w:left="1134" w:hanging="283"/>
        <w:rPr>
          <w:rFonts w:cs="Arial"/>
          <w:bCs/>
          <w:iCs/>
        </w:rPr>
      </w:pPr>
      <w:r w:rsidRPr="002F1F02">
        <w:t xml:space="preserve">Review of Objectively Assessed Housing Need </w:t>
      </w:r>
      <w:r w:rsidR="00A302A7">
        <w:t xml:space="preserve">(ROAHN) </w:t>
      </w:r>
      <w:r w:rsidRPr="002F1F02">
        <w:t>in light of 2012-based Sub</w:t>
      </w:r>
      <w:r w:rsidR="008F1C1B">
        <w:t>-</w:t>
      </w:r>
      <w:r w:rsidRPr="002F1F02">
        <w:t>national Population Projections</w:t>
      </w:r>
      <w:r w:rsidRPr="002F1F02">
        <w:rPr>
          <w:rFonts w:cs="Arial"/>
          <w:bCs/>
          <w:iCs/>
        </w:rPr>
        <w:t xml:space="preserve"> produces a target of </w:t>
      </w:r>
      <w:r w:rsidRPr="002F1F02">
        <w:rPr>
          <w:rFonts w:cs="Arial"/>
          <w:b/>
          <w:bCs/>
          <w:iCs/>
        </w:rPr>
        <w:t>204</w:t>
      </w:r>
      <w:r w:rsidRPr="002F1F02">
        <w:rPr>
          <w:rFonts w:cs="Arial"/>
          <w:bCs/>
          <w:iCs/>
        </w:rPr>
        <w:t xml:space="preserve"> dwellings between 2018 and 2033</w:t>
      </w:r>
      <w:r>
        <w:rPr>
          <w:rFonts w:cs="Arial"/>
          <w:bCs/>
          <w:iCs/>
        </w:rPr>
        <w:t xml:space="preserve"> or 14</w:t>
      </w:r>
      <w:r w:rsidR="008F1C1B">
        <w:rPr>
          <w:rFonts w:cs="Arial"/>
          <w:bCs/>
          <w:iCs/>
        </w:rPr>
        <w:t xml:space="preserve"> </w:t>
      </w:r>
      <w:proofErr w:type="spellStart"/>
      <w:r>
        <w:rPr>
          <w:rFonts w:cs="Arial"/>
          <w:bCs/>
          <w:iCs/>
        </w:rPr>
        <w:t>dpa</w:t>
      </w:r>
      <w:proofErr w:type="spellEnd"/>
      <w:r w:rsidRPr="002F1F02">
        <w:rPr>
          <w:rFonts w:cs="Arial"/>
          <w:bCs/>
          <w:iCs/>
        </w:rPr>
        <w:t>;</w:t>
      </w:r>
    </w:p>
    <w:p w:rsidR="000349EF" w:rsidRPr="002F1F02" w:rsidRDefault="00B25544" w:rsidP="00FC4BB9">
      <w:pPr>
        <w:pStyle w:val="ListNumber"/>
        <w:numPr>
          <w:ilvl w:val="3"/>
          <w:numId w:val="15"/>
        </w:numPr>
        <w:tabs>
          <w:tab w:val="clear" w:pos="1700"/>
          <w:tab w:val="num" w:pos="1134"/>
        </w:tabs>
        <w:ind w:left="1134" w:hanging="283"/>
      </w:pPr>
      <w:r>
        <w:t>MHCLG</w:t>
      </w:r>
      <w:r w:rsidR="000349EF" w:rsidRPr="002F1F02">
        <w:t xml:space="preserve"> </w:t>
      </w:r>
      <w:r w:rsidR="009D29D4">
        <w:t>h</w:t>
      </w:r>
      <w:r w:rsidR="000349EF" w:rsidRPr="002F1F02">
        <w:t xml:space="preserve">ousehold projections generate a re-based projection of </w:t>
      </w:r>
      <w:r w:rsidR="000349EF" w:rsidRPr="002F1F02">
        <w:rPr>
          <w:b/>
        </w:rPr>
        <w:t xml:space="preserve">249 dwellings </w:t>
      </w:r>
      <w:r w:rsidR="000349EF">
        <w:t xml:space="preserve">over the </w:t>
      </w:r>
      <w:r w:rsidR="000375DA">
        <w:t>Plan period</w:t>
      </w:r>
      <w:r w:rsidR="000349EF">
        <w:t xml:space="preserve"> or 17</w:t>
      </w:r>
      <w:r w:rsidR="009D29D4">
        <w:t xml:space="preserve"> </w:t>
      </w:r>
      <w:proofErr w:type="spellStart"/>
      <w:r w:rsidR="000349EF">
        <w:t>dpa</w:t>
      </w:r>
      <w:proofErr w:type="spellEnd"/>
      <w:r w:rsidR="000349EF" w:rsidRPr="002F1F02">
        <w:t>;</w:t>
      </w:r>
      <w:r w:rsidR="000349EF">
        <w:t xml:space="preserve"> and</w:t>
      </w:r>
    </w:p>
    <w:p w:rsidR="000349EF" w:rsidRPr="002F1F02" w:rsidRDefault="000349EF" w:rsidP="00FC4BB9">
      <w:pPr>
        <w:pStyle w:val="ListNumber"/>
        <w:numPr>
          <w:ilvl w:val="3"/>
          <w:numId w:val="15"/>
        </w:numPr>
        <w:tabs>
          <w:tab w:val="clear" w:pos="1700"/>
          <w:tab w:val="num" w:pos="1134"/>
        </w:tabs>
        <w:ind w:left="1134" w:hanging="283"/>
        <w:rPr>
          <w:bCs/>
          <w:iCs/>
        </w:rPr>
      </w:pPr>
      <w:r w:rsidRPr="002F1F02">
        <w:t xml:space="preserve">A projection derived from homes growth between 2001 and 2017 of </w:t>
      </w:r>
      <w:r w:rsidRPr="002F1F02">
        <w:rPr>
          <w:b/>
        </w:rPr>
        <w:t xml:space="preserve">136 homes over the </w:t>
      </w:r>
      <w:r w:rsidR="000375DA">
        <w:rPr>
          <w:b/>
        </w:rPr>
        <w:t>Plan period</w:t>
      </w:r>
      <w:r w:rsidRPr="002F1F02">
        <w:rPr>
          <w:b/>
        </w:rPr>
        <w:t xml:space="preserve"> of 2018-2033</w:t>
      </w:r>
      <w:r>
        <w:t>, or 9</w:t>
      </w:r>
      <w:r w:rsidR="006D30FE">
        <w:t xml:space="preserve"> </w:t>
      </w:r>
      <w:proofErr w:type="spellStart"/>
      <w:r>
        <w:t>dpa</w:t>
      </w:r>
      <w:proofErr w:type="spellEnd"/>
      <w:r>
        <w:t xml:space="preserve">. </w:t>
      </w:r>
    </w:p>
    <w:p w:rsidR="00E80CC8" w:rsidRDefault="00E80CC8" w:rsidP="00E80CC8">
      <w:pPr>
        <w:pStyle w:val="ListNumber"/>
        <w:rPr>
          <w:lang w:val="en-US"/>
        </w:rPr>
      </w:pPr>
      <w:r w:rsidRPr="00E80CC8">
        <w:rPr>
          <w:lang w:val="en-US"/>
        </w:rPr>
        <w:t xml:space="preserve">These dwelling number projections are illustrated in Figure 1 below. </w:t>
      </w:r>
    </w:p>
    <w:p w:rsidR="008D11A6" w:rsidRPr="00E80CC8" w:rsidRDefault="008D11A6" w:rsidP="008D11A6">
      <w:pPr>
        <w:pStyle w:val="ListNumber"/>
        <w:numPr>
          <w:ilvl w:val="0"/>
          <w:numId w:val="0"/>
        </w:numPr>
        <w:ind w:left="425"/>
        <w:rPr>
          <w:lang w:val="en-US"/>
        </w:rPr>
      </w:pPr>
    </w:p>
    <w:bookmarkEnd w:id="54"/>
    <w:bookmarkEnd w:id="55"/>
    <w:bookmarkEnd w:id="56"/>
    <w:bookmarkEnd w:id="57"/>
    <w:bookmarkEnd w:id="58"/>
    <w:bookmarkEnd w:id="59"/>
    <w:p w:rsidR="00FC4BB9" w:rsidRDefault="00FC4BB9">
      <w:pPr>
        <w:tabs>
          <w:tab w:val="clear" w:pos="284"/>
        </w:tabs>
        <w:spacing w:line="240" w:lineRule="auto"/>
        <w:rPr>
          <w:b/>
          <w:szCs w:val="22"/>
          <w:lang w:val="en-US"/>
        </w:rPr>
      </w:pPr>
      <w:r>
        <w:rPr>
          <w:b/>
          <w:szCs w:val="22"/>
          <w:lang w:val="en-US"/>
        </w:rPr>
        <w:br w:type="page"/>
      </w:r>
    </w:p>
    <w:p w:rsidR="00FC4BB9" w:rsidRDefault="00FC4BB9" w:rsidP="00FC4BB9">
      <w:pPr>
        <w:pStyle w:val="Caption"/>
      </w:pPr>
      <w:bookmarkStart w:id="60" w:name="_Ref503426487"/>
      <w:r>
        <w:lastRenderedPageBreak/>
        <w:t xml:space="preserve">Figure </w:t>
      </w:r>
      <w:fldSimple w:instr=" SEQ Figure \* ARABIC ">
        <w:r w:rsidR="00A258B5">
          <w:rPr>
            <w:noProof/>
          </w:rPr>
          <w:t>1</w:t>
        </w:r>
      </w:fldSimple>
      <w:bookmarkEnd w:id="60"/>
      <w:r>
        <w:t xml:space="preserve">: </w:t>
      </w:r>
      <w:r w:rsidR="00DC7A83">
        <w:t>Dwelling projections for West Wittering</w:t>
      </w:r>
      <w:r w:rsidRPr="001714ED">
        <w:t>, 2018-2033</w:t>
      </w:r>
    </w:p>
    <w:p w:rsidR="00A302A7" w:rsidRDefault="0027422F" w:rsidP="00CE19EC">
      <w:pPr>
        <w:pStyle w:val="Source"/>
      </w:pPr>
      <w:r>
        <w:rPr>
          <w:noProof/>
          <w:lang w:eastAsia="en-GB"/>
        </w:rPr>
        <w:drawing>
          <wp:inline distT="0" distB="0" distL="0" distR="0" wp14:anchorId="000BE75B" wp14:editId="63B7353F">
            <wp:extent cx="5818908" cy="4262005"/>
            <wp:effectExtent l="0" t="0" r="10795" b="247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0CC8" w:rsidRDefault="00E80CC8" w:rsidP="00CE19EC">
      <w:pPr>
        <w:pStyle w:val="Source"/>
      </w:pPr>
      <w:r w:rsidRPr="00E80CC8">
        <w:t xml:space="preserve">Source: </w:t>
      </w:r>
      <w:r w:rsidR="00AB7A47">
        <w:t>AECOM</w:t>
      </w:r>
    </w:p>
    <w:p w:rsidR="007D0C11" w:rsidRPr="008762AB" w:rsidRDefault="007D0C11" w:rsidP="00FC4BB9">
      <w:pPr>
        <w:pStyle w:val="ListNumber"/>
      </w:pPr>
      <w:r w:rsidRPr="008762AB">
        <w:t>The graph above sets out the total number of homes factoring in each of the pr</w:t>
      </w:r>
      <w:r w:rsidR="00704CF8">
        <w:t>ojections we have identified</w:t>
      </w:r>
      <w:r w:rsidRPr="008762AB">
        <w:t xml:space="preserve">. So, for example, factoring in </w:t>
      </w:r>
      <w:r w:rsidR="00B25544">
        <w:t>MHCLG</w:t>
      </w:r>
      <w:r w:rsidRPr="008762AB">
        <w:t xml:space="preserve"> derived data (orange line) to the number of dwellings that have already been built in the NPA between 2011 and 1st January 2016 (</w:t>
      </w:r>
      <w:r w:rsidR="00704CF8">
        <w:t>71</w:t>
      </w:r>
      <w:r w:rsidRPr="008762AB">
        <w:t xml:space="preserve">) produces a requirement that </w:t>
      </w:r>
      <w:r w:rsidR="0027422F">
        <w:t xml:space="preserve">the total number of homes (the total of those existing, plus additional dwellings completed over the Plan period) at the end of the Plan period </w:t>
      </w:r>
      <w:r w:rsidRPr="008762AB">
        <w:t xml:space="preserve">in the NPA </w:t>
      </w:r>
      <w:r w:rsidR="0027422F">
        <w:t xml:space="preserve">should come to </w:t>
      </w:r>
      <w:r w:rsidR="00704CF8">
        <w:t>2060</w:t>
      </w:r>
      <w:r w:rsidRPr="008762AB">
        <w:t xml:space="preserve"> homes</w:t>
      </w:r>
      <w:r w:rsidR="0027422F">
        <w:t xml:space="preserve">. </w:t>
      </w:r>
    </w:p>
    <w:p w:rsidR="00750AD2" w:rsidRPr="00D6665E" w:rsidRDefault="00750AD2" w:rsidP="00FC4BB9">
      <w:pPr>
        <w:pStyle w:val="ListNumber"/>
      </w:pPr>
      <w:r w:rsidRPr="00D6665E">
        <w:t>The starting point to arrive at an overall projection for housing numbers to be deli</w:t>
      </w:r>
      <w:r w:rsidR="00704CF8">
        <w:t>vered in the NPA over the Plan p</w:t>
      </w:r>
      <w:r w:rsidRPr="00D6665E">
        <w:t xml:space="preserve">eriod is the average of the four projections set out above; we depart from this approach if we have reason to believe a given projection should be </w:t>
      </w:r>
      <w:r w:rsidR="003A0168">
        <w:t>accorded</w:t>
      </w:r>
      <w:r w:rsidR="003A0168" w:rsidRPr="00D6665E">
        <w:t xml:space="preserve"> </w:t>
      </w:r>
      <w:r w:rsidRPr="00D6665E">
        <w:t xml:space="preserve">more weight than others, or should be excluded. For example, if the Local Plan was out of date in planning terms, or another </w:t>
      </w:r>
      <w:r w:rsidR="003A0168">
        <w:t xml:space="preserve">projection </w:t>
      </w:r>
      <w:r w:rsidRPr="00D6665E">
        <w:t xml:space="preserve">was a clear outlier.  </w:t>
      </w:r>
    </w:p>
    <w:p w:rsidR="00750AD2" w:rsidRPr="00D6665E" w:rsidRDefault="00750AD2" w:rsidP="00FC4BB9">
      <w:pPr>
        <w:pStyle w:val="ListNumber"/>
      </w:pPr>
      <w:r w:rsidRPr="00D6665E">
        <w:t>In the case of</w:t>
      </w:r>
      <w:r w:rsidR="00704CF8">
        <w:t xml:space="preserve"> West Wittering</w:t>
      </w:r>
      <w:r w:rsidRPr="00750AD2">
        <w:t xml:space="preserve">, </w:t>
      </w:r>
      <w:r w:rsidRPr="00D6665E">
        <w:t xml:space="preserve">we do not see any justification for awarding any one projection greater weight, therefore the initial housing projection for the town is </w:t>
      </w:r>
      <w:r w:rsidR="00704CF8">
        <w:t>182</w:t>
      </w:r>
      <w:r w:rsidRPr="00D6665E">
        <w:t xml:space="preserve"> dwellings, or </w:t>
      </w:r>
      <w:r w:rsidR="00704CF8">
        <w:t>12</w:t>
      </w:r>
      <w:r w:rsidR="003A0168">
        <w:t xml:space="preserve"> </w:t>
      </w:r>
      <w:proofErr w:type="spellStart"/>
      <w:r w:rsidR="00704CF8">
        <w:t>dpa</w:t>
      </w:r>
      <w:proofErr w:type="spellEnd"/>
      <w:r w:rsidR="00704CF8">
        <w:t xml:space="preserve"> (rounded)</w:t>
      </w:r>
      <w:r>
        <w:t xml:space="preserve"> </w:t>
      </w:r>
      <w:r w:rsidR="00704CF8">
        <w:t>over the P</w:t>
      </w:r>
      <w:r w:rsidRPr="00D6665E">
        <w:t xml:space="preserve">lan period. </w:t>
      </w:r>
    </w:p>
    <w:p w:rsidR="00750AD2" w:rsidRPr="00F13868" w:rsidRDefault="00750AD2" w:rsidP="00FC4BB9">
      <w:pPr>
        <w:pStyle w:val="ListNumber"/>
      </w:pPr>
      <w:r w:rsidRPr="00D6665E">
        <w:t xml:space="preserve">Moreover, a further assessment </w:t>
      </w:r>
      <w:r w:rsidR="00963B2B">
        <w:t xml:space="preserve">of relevant factors </w:t>
      </w:r>
      <w:r w:rsidRPr="00D6665E">
        <w:t>applied to this initial projection indicates that market signals (for example</w:t>
      </w:r>
      <w:r w:rsidR="00D938B0">
        <w:t>,</w:t>
      </w:r>
      <w:r w:rsidRPr="00D6665E">
        <w:t xml:space="preserve"> the economic context in which the NPA sits</w:t>
      </w:r>
      <w:r w:rsidR="0027422F">
        <w:t xml:space="preserve"> and the movement of house prices)</w:t>
      </w:r>
      <w:r w:rsidRPr="00D6665E">
        <w:t xml:space="preserve">) are likely to impact on it. We have applied our professional judgment on the scales of increase and decrease </w:t>
      </w:r>
      <w:r w:rsidR="00963B2B">
        <w:t xml:space="preserve">in housing requirement </w:t>
      </w:r>
      <w:r w:rsidRPr="00D6665E">
        <w:t xml:space="preserve">associated with </w:t>
      </w:r>
      <w:r w:rsidRPr="005D4C7E">
        <w:t>each factor on a scale from one to three, where one arrow indicates ‘some impact’, two arrows ‘stronger impact’ and three arrows an even stronger impact. Factors are set out in the table below in alphabetical but no other order.</w:t>
      </w:r>
    </w:p>
    <w:p w:rsidR="00FC4BB9" w:rsidRDefault="00FC4BB9" w:rsidP="00FC4BB9">
      <w:pPr>
        <w:pStyle w:val="ListNumber"/>
        <w:rPr>
          <w:b/>
          <w:sz w:val="20"/>
          <w:szCs w:val="22"/>
          <w:lang w:val="en-US"/>
        </w:rPr>
      </w:pPr>
      <w:bookmarkStart w:id="61" w:name="_Toc487974569"/>
      <w:r>
        <w:br w:type="page"/>
      </w:r>
    </w:p>
    <w:bookmarkEnd w:id="61"/>
    <w:p w:rsidR="00FC4BB9" w:rsidRDefault="00FC4BB9" w:rsidP="00FC4BB9">
      <w:pPr>
        <w:pStyle w:val="Caption"/>
      </w:pPr>
      <w:r>
        <w:lastRenderedPageBreak/>
        <w:t xml:space="preserve">Table </w:t>
      </w:r>
      <w:fldSimple w:instr=" SEQ Table \* ARABIC ">
        <w:r w:rsidR="00B25544">
          <w:rPr>
            <w:noProof/>
          </w:rPr>
          <w:t>1</w:t>
        </w:r>
      </w:fldSimple>
      <w:r>
        <w:t xml:space="preserve">: </w:t>
      </w:r>
      <w:r w:rsidRPr="005E6CD1">
        <w:t xml:space="preserve">Summary of factors specific to </w:t>
      </w:r>
      <w:r>
        <w:t xml:space="preserve">West Wittering </w:t>
      </w:r>
      <w:r w:rsidRPr="005E6CD1">
        <w:t>with a potential impact on neighbourhood plan housing quantity</w:t>
      </w:r>
    </w:p>
    <w:tbl>
      <w:tblPr>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76"/>
        <w:gridCol w:w="1702"/>
        <w:gridCol w:w="1975"/>
        <w:gridCol w:w="4547"/>
      </w:tblGrid>
      <w:tr w:rsidR="00623832" w:rsidRPr="008042E5" w:rsidTr="00FC4BB9">
        <w:trPr>
          <w:tblHeader/>
        </w:trPr>
        <w:tc>
          <w:tcPr>
            <w:tcW w:w="1676" w:type="dxa"/>
            <w:shd w:val="clear" w:color="auto" w:fill="000000" w:themeFill="text1"/>
            <w:hideMark/>
          </w:tcPr>
          <w:p w:rsidR="00623832" w:rsidRPr="00E82A91" w:rsidRDefault="00623832" w:rsidP="00FC4BB9">
            <w:pPr>
              <w:pStyle w:val="BodyText"/>
              <w:rPr>
                <w:bCs/>
              </w:rPr>
            </w:pPr>
            <w:r w:rsidRPr="00E82A91">
              <w:rPr>
                <w:bCs/>
              </w:rPr>
              <w:t>Factor</w:t>
            </w:r>
          </w:p>
        </w:tc>
        <w:tc>
          <w:tcPr>
            <w:tcW w:w="1702" w:type="dxa"/>
            <w:shd w:val="clear" w:color="auto" w:fill="000000" w:themeFill="text1"/>
            <w:hideMark/>
          </w:tcPr>
          <w:p w:rsidR="00623832" w:rsidRPr="00E82A91" w:rsidRDefault="00623832" w:rsidP="00FC4BB9">
            <w:pPr>
              <w:pStyle w:val="BodyText"/>
              <w:rPr>
                <w:bCs/>
              </w:rPr>
            </w:pPr>
            <w:r>
              <w:rPr>
                <w:bCs/>
              </w:rPr>
              <w:t>Source(s) (see Chapter 5</w:t>
            </w:r>
            <w:r w:rsidRPr="00E82A91">
              <w:rPr>
                <w:bCs/>
              </w:rPr>
              <w:t>)</w:t>
            </w:r>
          </w:p>
        </w:tc>
        <w:tc>
          <w:tcPr>
            <w:tcW w:w="1975" w:type="dxa"/>
            <w:shd w:val="clear" w:color="auto" w:fill="000000" w:themeFill="text1"/>
            <w:hideMark/>
          </w:tcPr>
          <w:p w:rsidR="00623832" w:rsidRPr="00E82A91" w:rsidRDefault="00623832" w:rsidP="00FC4BB9">
            <w:pPr>
              <w:pStyle w:val="BodyText"/>
              <w:rPr>
                <w:bCs/>
              </w:rPr>
            </w:pPr>
            <w:r w:rsidRPr="00E82A91">
              <w:rPr>
                <w:bCs/>
              </w:rPr>
              <w:t>Possible impact on housing needed</w:t>
            </w:r>
          </w:p>
        </w:tc>
        <w:tc>
          <w:tcPr>
            <w:tcW w:w="4547" w:type="dxa"/>
            <w:shd w:val="clear" w:color="auto" w:fill="000000" w:themeFill="text1"/>
          </w:tcPr>
          <w:p w:rsidR="00623832" w:rsidRPr="00E82A91" w:rsidRDefault="00623832" w:rsidP="00FC4BB9">
            <w:pPr>
              <w:pStyle w:val="BodyText"/>
              <w:rPr>
                <w:bCs/>
              </w:rPr>
            </w:pPr>
            <w:r w:rsidRPr="00E82A91">
              <w:rPr>
                <w:bCs/>
              </w:rPr>
              <w:t>Conclusion</w:t>
            </w:r>
          </w:p>
          <w:p w:rsidR="00623832" w:rsidRPr="00E82A91" w:rsidRDefault="00623832" w:rsidP="00FC4BB9">
            <w:pPr>
              <w:pStyle w:val="BodyText"/>
              <w:rPr>
                <w:bCs/>
              </w:rPr>
            </w:pPr>
          </w:p>
        </w:tc>
      </w:tr>
      <w:tr w:rsidR="00623832" w:rsidRPr="008042E5"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Employment trends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635315" w:rsidRDefault="00623832" w:rsidP="00FC4BB9">
            <w:pPr>
              <w:pStyle w:val="BodyText"/>
              <w:rPr>
                <w:highlight w:val="yellow"/>
              </w:rPr>
            </w:pPr>
            <w:r w:rsidRPr="00A61BFF">
              <w:rPr>
                <w:rFonts w:asciiTheme="majorHAnsi" w:hAnsiTheme="majorHAnsi" w:cstheme="majorHAnsi"/>
                <w:szCs w:val="24"/>
              </w:rPr>
              <w:t xml:space="preserve">LEPSEP, CLP, Census 2001/11 </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623832" w:rsidP="009625C5">
            <w:pPr>
              <w:pStyle w:val="BodyText"/>
              <w:jc w:val="center"/>
              <w:rPr>
                <w:highlight w:val="yellow"/>
              </w:rPr>
            </w:pPr>
            <w:r w:rsidRPr="00C54D45">
              <w:rPr>
                <w:rFonts w:asciiTheme="majorHAnsi" w:hAnsiTheme="majorHAnsi" w:cstheme="majorHAnsi"/>
                <w:sz w:val="96"/>
                <w:szCs w:val="96"/>
              </w:rPr>
              <w:sym w:font="Symbol" w:char="F0AD"/>
            </w: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625C5" w:rsidRDefault="00623832" w:rsidP="00FC4BB9">
            <w:pPr>
              <w:pStyle w:val="BodyText"/>
              <w:rPr>
                <w:rFonts w:cstheme="minorHAnsi"/>
                <w:szCs w:val="24"/>
              </w:rPr>
            </w:pPr>
            <w:r w:rsidRPr="00EB08F4">
              <w:rPr>
                <w:rFonts w:cstheme="minorHAnsi"/>
                <w:szCs w:val="24"/>
              </w:rPr>
              <w:t xml:space="preserve">The wider economic area has been shown to have numerous global and competitive companies across a wide </w:t>
            </w:r>
            <w:r w:rsidRPr="001505F0">
              <w:rPr>
                <w:rFonts w:cstheme="minorHAnsi"/>
                <w:szCs w:val="24"/>
              </w:rPr>
              <w:t xml:space="preserve">range of sectors, with a potential for growth. </w:t>
            </w:r>
          </w:p>
          <w:p w:rsidR="00623832" w:rsidRPr="00C8146C" w:rsidRDefault="00623832" w:rsidP="0027422F">
            <w:pPr>
              <w:pStyle w:val="BodyText"/>
              <w:rPr>
                <w:rFonts w:cstheme="minorHAnsi"/>
                <w:highlight w:val="yellow"/>
              </w:rPr>
            </w:pPr>
            <w:r w:rsidRPr="001505F0">
              <w:rPr>
                <w:rFonts w:cstheme="minorHAnsi"/>
                <w:szCs w:val="24"/>
              </w:rPr>
              <w:t xml:space="preserve">Furthermore, future investment in transport infrastructure has been </w:t>
            </w:r>
            <w:r w:rsidRPr="00120488">
              <w:rPr>
                <w:rFonts w:cstheme="minorHAnsi"/>
                <w:szCs w:val="24"/>
              </w:rPr>
              <w:t xml:space="preserve">shown to have a likely impact on West Wittering in terms of demand for housing, as is potential growth in intrinsic </w:t>
            </w:r>
            <w:r w:rsidR="0027422F">
              <w:rPr>
                <w:rFonts w:cstheme="minorHAnsi"/>
                <w:szCs w:val="24"/>
              </w:rPr>
              <w:t>businesses based inside the NPA</w:t>
            </w:r>
            <w:r w:rsidRPr="00120488">
              <w:rPr>
                <w:rFonts w:cstheme="minorHAnsi"/>
                <w:szCs w:val="24"/>
              </w:rPr>
              <w:t>. Therefore two</w:t>
            </w:r>
            <w:r>
              <w:rPr>
                <w:rFonts w:cstheme="minorHAnsi"/>
                <w:szCs w:val="24"/>
              </w:rPr>
              <w:t xml:space="preserve"> up arrows have</w:t>
            </w:r>
            <w:r w:rsidRPr="001505F0">
              <w:rPr>
                <w:rFonts w:cstheme="minorHAnsi"/>
                <w:szCs w:val="24"/>
              </w:rPr>
              <w:t xml:space="preserve"> been deemed appropriate. </w:t>
            </w:r>
          </w:p>
        </w:tc>
      </w:tr>
      <w:tr w:rsidR="00623832" w:rsidRPr="008042E5" w:rsidTr="00FC4BB9">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Housing transactions (</w:t>
            </w:r>
            <w:r w:rsidR="004D69B8">
              <w:rPr>
                <w:rFonts w:asciiTheme="majorHAnsi" w:hAnsiTheme="majorHAnsi" w:cstheme="majorHAnsi"/>
                <w:b/>
                <w:szCs w:val="24"/>
              </w:rPr>
              <w:t>p</w:t>
            </w:r>
            <w:r w:rsidRPr="00C54D45">
              <w:rPr>
                <w:rFonts w:asciiTheme="majorHAnsi" w:hAnsiTheme="majorHAnsi" w:cstheme="majorHAnsi"/>
                <w:b/>
                <w:szCs w:val="24"/>
              </w:rPr>
              <w:t>rices)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635315" w:rsidRDefault="00623832" w:rsidP="00FC4BB9">
            <w:pPr>
              <w:pStyle w:val="BodyText"/>
              <w:rPr>
                <w:highlight w:val="yellow"/>
              </w:rPr>
            </w:pPr>
            <w:r w:rsidRPr="00A61BFF">
              <w:rPr>
                <w:rFonts w:asciiTheme="majorHAnsi" w:hAnsiTheme="majorHAnsi" w:cstheme="majorHAnsi"/>
                <w:szCs w:val="24"/>
              </w:rPr>
              <w:t>PPG, Land Registry Price Paid Data for  2007-2016,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623832" w:rsidP="009625C5">
            <w:pPr>
              <w:pStyle w:val="BodyText"/>
              <w:jc w:val="center"/>
              <w:rPr>
                <w:highlight w:val="yellow"/>
              </w:rPr>
            </w:pPr>
            <w:r w:rsidRPr="00C54D45">
              <w:rPr>
                <w:rFonts w:asciiTheme="majorHAnsi" w:hAnsiTheme="majorHAnsi" w:cstheme="majorHAnsi"/>
                <w:sz w:val="96"/>
                <w:szCs w:val="96"/>
              </w:rPr>
              <w:sym w:font="Symbol" w:char="F0AD"/>
            </w: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625C5" w:rsidRDefault="00623832" w:rsidP="00FC4BB9">
            <w:pPr>
              <w:pStyle w:val="BodyText"/>
              <w:rPr>
                <w:rFonts w:cstheme="minorHAnsi"/>
                <w:szCs w:val="24"/>
              </w:rPr>
            </w:pPr>
            <w:r w:rsidRPr="007044A9">
              <w:rPr>
                <w:rFonts w:cstheme="minorHAnsi"/>
                <w:szCs w:val="24"/>
              </w:rPr>
              <w:t>The West Wittering NPA has bee</w:t>
            </w:r>
            <w:r>
              <w:rPr>
                <w:rFonts w:cstheme="minorHAnsi"/>
                <w:szCs w:val="24"/>
              </w:rPr>
              <w:t>n shown to have experienced an 18</w:t>
            </w:r>
            <w:r w:rsidRPr="007044A9">
              <w:rPr>
                <w:rFonts w:cstheme="minorHAnsi"/>
                <w:szCs w:val="24"/>
              </w:rPr>
              <w:t xml:space="preserve">% increase in price paid for properties of all types over a ten year </w:t>
            </w:r>
            <w:r w:rsidRPr="004E0BA1">
              <w:rPr>
                <w:rFonts w:cstheme="minorHAnsi"/>
                <w:szCs w:val="24"/>
              </w:rPr>
              <w:t xml:space="preserve">period. </w:t>
            </w:r>
          </w:p>
          <w:p w:rsidR="00623832" w:rsidRPr="00C8146C" w:rsidRDefault="00623832" w:rsidP="00FC4BB9">
            <w:pPr>
              <w:pStyle w:val="BodyText"/>
              <w:rPr>
                <w:rFonts w:cstheme="minorHAnsi"/>
                <w:highlight w:val="yellow"/>
              </w:rPr>
            </w:pPr>
            <w:r w:rsidRPr="004E0BA1">
              <w:rPr>
                <w:rFonts w:cstheme="minorHAnsi"/>
                <w:szCs w:val="24"/>
              </w:rPr>
              <w:t>The price paid varies per ho</w:t>
            </w:r>
            <w:r w:rsidRPr="00094F58">
              <w:rPr>
                <w:rFonts w:cstheme="minorHAnsi"/>
                <w:szCs w:val="24"/>
              </w:rPr>
              <w:t>using typ</w:t>
            </w:r>
            <w:r w:rsidR="004D69B8">
              <w:rPr>
                <w:rFonts w:cstheme="minorHAnsi"/>
                <w:szCs w:val="24"/>
              </w:rPr>
              <w:t>e</w:t>
            </w:r>
            <w:r w:rsidR="00860785">
              <w:rPr>
                <w:rFonts w:cstheme="minorHAnsi"/>
                <w:szCs w:val="24"/>
              </w:rPr>
              <w:t xml:space="preserve"> (detached, semi-detached, terraced and flats) </w:t>
            </w:r>
            <w:r w:rsidR="00860785" w:rsidRPr="00B04C58">
              <w:rPr>
                <w:rFonts w:cstheme="minorHAnsi"/>
                <w:szCs w:val="24"/>
              </w:rPr>
              <w:t xml:space="preserve"> </w:t>
            </w:r>
            <w:r w:rsidRPr="00094F58">
              <w:rPr>
                <w:rFonts w:cstheme="minorHAnsi"/>
                <w:szCs w:val="24"/>
              </w:rPr>
              <w:t xml:space="preserve"> but has remained relatively high across all types. Although price growth in West Wittering was less than in the </w:t>
            </w:r>
            <w:r w:rsidR="005F5CF8">
              <w:rPr>
                <w:rFonts w:cstheme="minorHAnsi"/>
                <w:szCs w:val="24"/>
              </w:rPr>
              <w:t>District</w:t>
            </w:r>
            <w:r w:rsidRPr="00094F58">
              <w:rPr>
                <w:rFonts w:cstheme="minorHAnsi"/>
                <w:szCs w:val="24"/>
              </w:rPr>
              <w:t xml:space="preserve"> as a whole, this was from a higher base, and therefore, two</w:t>
            </w:r>
            <w:r>
              <w:rPr>
                <w:rFonts w:cstheme="minorHAnsi"/>
                <w:szCs w:val="24"/>
              </w:rPr>
              <w:t xml:space="preserve"> up arrows have</w:t>
            </w:r>
            <w:r w:rsidRPr="00094F58">
              <w:rPr>
                <w:rFonts w:cstheme="minorHAnsi"/>
                <w:szCs w:val="24"/>
              </w:rPr>
              <w:t xml:space="preserve"> been deemed appropriate.</w:t>
            </w:r>
          </w:p>
        </w:tc>
      </w:tr>
      <w:tr w:rsidR="00623832" w:rsidRPr="008042E5"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Housing Transactions (</w:t>
            </w:r>
            <w:r w:rsidR="00B267C3">
              <w:rPr>
                <w:rFonts w:asciiTheme="majorHAnsi" w:hAnsiTheme="majorHAnsi" w:cstheme="majorHAnsi"/>
                <w:b/>
                <w:szCs w:val="24"/>
              </w:rPr>
              <w:t>v</w:t>
            </w:r>
            <w:r w:rsidRPr="00C54D45">
              <w:rPr>
                <w:rFonts w:asciiTheme="majorHAnsi" w:hAnsiTheme="majorHAnsi" w:cstheme="majorHAnsi"/>
                <w:b/>
                <w:szCs w:val="24"/>
              </w:rPr>
              <w:t>olume)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635315" w:rsidRDefault="00623832" w:rsidP="00FC4BB9">
            <w:pPr>
              <w:pStyle w:val="BodyText"/>
              <w:rPr>
                <w:highlight w:val="yellow"/>
              </w:rPr>
            </w:pPr>
            <w:r w:rsidRPr="00A61BFF">
              <w:rPr>
                <w:rFonts w:asciiTheme="majorHAnsi" w:hAnsiTheme="majorHAnsi" w:cstheme="majorHAnsi"/>
                <w:szCs w:val="24"/>
              </w:rPr>
              <w:t>Land Registry Price Paid Data for  2007-201</w:t>
            </w:r>
            <w:r>
              <w:rPr>
                <w:rFonts w:asciiTheme="majorHAnsi" w:hAnsiTheme="majorHAnsi" w:cstheme="majorHAnsi"/>
                <w:szCs w:val="24"/>
              </w:rPr>
              <w:t>6, Census 2001/2011 data,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623832" w:rsidP="009625C5">
            <w:pPr>
              <w:pStyle w:val="BodyText"/>
              <w:jc w:val="center"/>
              <w:rPr>
                <w:highlight w:val="yellow"/>
              </w:rPr>
            </w:pP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381A26" w:rsidRDefault="00381A26" w:rsidP="00381A26">
            <w:r w:rsidRPr="00381A26">
              <w:rPr>
                <w:color w:val="000000" w:themeColor="text1"/>
              </w:rPr>
              <w:t xml:space="preserve">The evidence gathered suggests there is a high demand in the NPA for semi-detached housing relative to supply (the number of sales of semi-detached dwellings as a proportion of all sales </w:t>
            </w:r>
            <w:proofErr w:type="gramStart"/>
            <w:r w:rsidRPr="00381A26">
              <w:rPr>
                <w:color w:val="000000" w:themeColor="text1"/>
              </w:rPr>
              <w:t>exceeds</w:t>
            </w:r>
            <w:proofErr w:type="gramEnd"/>
            <w:r w:rsidRPr="00381A26">
              <w:rPr>
                <w:color w:val="000000" w:themeColor="text1"/>
              </w:rPr>
              <w:t xml:space="preserve"> the proportion they represent of the housing stock). This ‘high demand’ scenario justifies one up arrow.</w:t>
            </w:r>
          </w:p>
        </w:tc>
      </w:tr>
      <w:tr w:rsidR="00623832" w:rsidRPr="008042E5"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 xml:space="preserve">Migration </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1F4E29" w:rsidRDefault="00B25544" w:rsidP="00C32039">
            <w:pPr>
              <w:pStyle w:val="BodyText"/>
            </w:pPr>
            <w:r>
              <w:rPr>
                <w:rFonts w:asciiTheme="majorHAnsi" w:hAnsiTheme="majorHAnsi" w:cstheme="majorHAnsi"/>
                <w:szCs w:val="24"/>
              </w:rPr>
              <w:t>Census 2001/</w:t>
            </w:r>
            <w:r w:rsidR="00623832" w:rsidRPr="001F4E29">
              <w:rPr>
                <w:rFonts w:asciiTheme="majorHAnsi" w:hAnsiTheme="majorHAnsi" w:cstheme="majorHAnsi"/>
                <w:szCs w:val="24"/>
              </w:rPr>
              <w:t>2011</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623832" w:rsidP="009625C5">
            <w:pPr>
              <w:pStyle w:val="BodyText"/>
              <w:jc w:val="center"/>
              <w:rPr>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C8146C" w:rsidRDefault="00623832" w:rsidP="00FC4BB9">
            <w:pPr>
              <w:pStyle w:val="BodyText"/>
              <w:rPr>
                <w:rFonts w:cstheme="minorHAnsi"/>
                <w:highlight w:val="yellow"/>
              </w:rPr>
            </w:pPr>
            <w:r w:rsidRPr="00AA3389">
              <w:rPr>
                <w:rFonts w:cstheme="minorHAnsi"/>
                <w:szCs w:val="24"/>
              </w:rPr>
              <w:t>Migration is not seen as</w:t>
            </w:r>
            <w:r>
              <w:rPr>
                <w:rFonts w:cstheme="minorHAnsi"/>
                <w:szCs w:val="24"/>
              </w:rPr>
              <w:t xml:space="preserve"> a</w:t>
            </w:r>
            <w:r w:rsidRPr="00AA3389">
              <w:rPr>
                <w:rFonts w:cstheme="minorHAnsi"/>
                <w:szCs w:val="24"/>
              </w:rPr>
              <w:t xml:space="preserve"> significant factor in determining housing need given that just 22% of the 6.1% of West Wittering residents born outside of the UK arrived in the last 10 years. </w:t>
            </w:r>
          </w:p>
        </w:tc>
      </w:tr>
      <w:tr w:rsidR="00623832" w:rsidRPr="008042E5"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 xml:space="preserve">Overcrowding and concealment </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1F4E29" w:rsidRDefault="00623832" w:rsidP="00C32039">
            <w:pPr>
              <w:pStyle w:val="BodyText"/>
            </w:pPr>
            <w:r w:rsidRPr="001F4E29">
              <w:rPr>
                <w:rFonts w:asciiTheme="majorHAnsi" w:hAnsiTheme="majorHAnsi" w:cstheme="majorHAnsi"/>
                <w:szCs w:val="24"/>
              </w:rPr>
              <w:t>Census 2</w:t>
            </w:r>
            <w:r w:rsidR="00B25544">
              <w:rPr>
                <w:rFonts w:asciiTheme="majorHAnsi" w:hAnsiTheme="majorHAnsi" w:cstheme="majorHAnsi"/>
                <w:szCs w:val="24"/>
              </w:rPr>
              <w:t>001/</w:t>
            </w:r>
            <w:r w:rsidRPr="001F4E29">
              <w:rPr>
                <w:rFonts w:asciiTheme="majorHAnsi" w:hAnsiTheme="majorHAnsi" w:cstheme="majorHAnsi"/>
                <w:szCs w:val="24"/>
              </w:rPr>
              <w:t xml:space="preserve"> 2011</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623832" w:rsidP="009625C5">
            <w:pPr>
              <w:pStyle w:val="BodyText"/>
              <w:jc w:val="center"/>
              <w:rPr>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C8146C" w:rsidRDefault="00623832" w:rsidP="00FC4BB9">
            <w:pPr>
              <w:pStyle w:val="BodyText"/>
              <w:rPr>
                <w:rFonts w:cstheme="minorHAnsi"/>
                <w:highlight w:val="yellow"/>
              </w:rPr>
            </w:pPr>
            <w:r w:rsidRPr="00F02B4F">
              <w:rPr>
                <w:rFonts w:cstheme="minorHAnsi"/>
                <w:szCs w:val="24"/>
              </w:rPr>
              <w:t xml:space="preserve">There is no evidence of overcrowding in West Wittering and although there is some evidence of concealed families, these are not deemed particularly significant given the levels seen in Chichester </w:t>
            </w:r>
            <w:r w:rsidR="005F5CF8">
              <w:rPr>
                <w:rFonts w:cstheme="minorHAnsi"/>
                <w:szCs w:val="24"/>
              </w:rPr>
              <w:t>District</w:t>
            </w:r>
            <w:r w:rsidRPr="00F02B4F">
              <w:rPr>
                <w:rFonts w:cstheme="minorHAnsi"/>
                <w:szCs w:val="24"/>
              </w:rPr>
              <w:t xml:space="preserve"> as a whole. </w:t>
            </w:r>
          </w:p>
        </w:tc>
      </w:tr>
      <w:tr w:rsidR="00623832" w:rsidRPr="008042E5"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8042E5" w:rsidRDefault="00623832" w:rsidP="00FC4BB9">
            <w:pPr>
              <w:pStyle w:val="BodyText"/>
              <w:rPr>
                <w:b/>
                <w:bCs/>
                <w:highlight w:val="yellow"/>
              </w:rPr>
            </w:pPr>
            <w:r w:rsidRPr="00C54D45">
              <w:rPr>
                <w:rFonts w:asciiTheme="majorHAnsi" w:hAnsiTheme="majorHAnsi" w:cstheme="majorHAnsi"/>
                <w:b/>
                <w:szCs w:val="24"/>
              </w:rPr>
              <w:t>Rate of development</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635315" w:rsidRDefault="00623832" w:rsidP="00FC4BB9">
            <w:pPr>
              <w:pStyle w:val="BodyText"/>
              <w:rPr>
                <w:bCs/>
                <w:highlight w:val="yellow"/>
              </w:rPr>
            </w:pPr>
            <w:r w:rsidRPr="001F4E29">
              <w:t xml:space="preserve">Chichester </w:t>
            </w:r>
            <w:r w:rsidR="005F5CF8">
              <w:t>District</w:t>
            </w:r>
            <w:r w:rsidRPr="001F4E29">
              <w:t xml:space="preserve"> Council Authority’s Monitoring Report 2015-2016</w:t>
            </w:r>
            <w:r w:rsidRPr="001F4E29">
              <w:rPr>
                <w:rFonts w:asciiTheme="majorHAnsi" w:hAnsiTheme="majorHAnsi" w:cstheme="majorHAnsi"/>
                <w:szCs w:val="24"/>
              </w:rPr>
              <w:t>,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8042E5" w:rsidRDefault="005F5CF8" w:rsidP="009625C5">
            <w:pPr>
              <w:pStyle w:val="BodyText"/>
              <w:jc w:val="center"/>
              <w:rPr>
                <w:bCs/>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23832" w:rsidRPr="00C8146C" w:rsidRDefault="00623832" w:rsidP="005F5CF8">
            <w:pPr>
              <w:pStyle w:val="BodyText"/>
              <w:rPr>
                <w:rFonts w:cstheme="minorHAnsi"/>
                <w:highlight w:val="yellow"/>
                <w:lang w:val="en-US"/>
              </w:rPr>
            </w:pPr>
            <w:r>
              <w:rPr>
                <w:rFonts w:cstheme="minorHAnsi"/>
                <w:szCs w:val="24"/>
              </w:rPr>
              <w:t xml:space="preserve">Chichester </w:t>
            </w:r>
            <w:r w:rsidR="005F5CF8">
              <w:rPr>
                <w:rFonts w:cstheme="minorHAnsi"/>
                <w:szCs w:val="24"/>
              </w:rPr>
              <w:t>District has consistently met, or exceeded its housing target in recent years</w:t>
            </w:r>
            <w:r>
              <w:rPr>
                <w:rFonts w:cstheme="minorHAnsi"/>
                <w:szCs w:val="24"/>
              </w:rPr>
              <w:t xml:space="preserve">. Furthermore, </w:t>
            </w:r>
            <w:r>
              <w:t>the</w:t>
            </w:r>
            <w:r w:rsidRPr="00604333">
              <w:rPr>
                <w:rFonts w:cstheme="minorHAnsi"/>
                <w:szCs w:val="24"/>
              </w:rPr>
              <w:t xml:space="preserve"> rate of development </w:t>
            </w:r>
            <w:r>
              <w:rPr>
                <w:rFonts w:cstheme="minorHAnsi"/>
                <w:szCs w:val="24"/>
              </w:rPr>
              <w:t xml:space="preserve">in West </w:t>
            </w:r>
            <w:r w:rsidRPr="00444DB9">
              <w:rPr>
                <w:rFonts w:cstheme="minorHAnsi"/>
                <w:szCs w:val="24"/>
              </w:rPr>
              <w:t>Wittering shows that actual supply is in line with planned supply. Therefore it is reasonable to suggest that the rate of development indicates there is only a small potential for future under</w:t>
            </w:r>
            <w:r w:rsidR="005F5CF8">
              <w:rPr>
                <w:rFonts w:cstheme="minorHAnsi"/>
                <w:szCs w:val="24"/>
              </w:rPr>
              <w:t>-</w:t>
            </w:r>
            <w:r w:rsidRPr="00444DB9">
              <w:rPr>
                <w:rFonts w:cstheme="minorHAnsi"/>
                <w:szCs w:val="24"/>
              </w:rPr>
              <w:t>delivery and</w:t>
            </w:r>
            <w:r w:rsidR="00113319">
              <w:rPr>
                <w:rFonts w:cstheme="minorHAnsi"/>
                <w:szCs w:val="24"/>
              </w:rPr>
              <w:t>,</w:t>
            </w:r>
            <w:r w:rsidRPr="00444DB9">
              <w:rPr>
                <w:rFonts w:cstheme="minorHAnsi"/>
                <w:szCs w:val="24"/>
              </w:rPr>
              <w:t xml:space="preserve"> as such</w:t>
            </w:r>
            <w:r w:rsidR="005F5CF8">
              <w:rPr>
                <w:rFonts w:cstheme="minorHAnsi"/>
                <w:szCs w:val="24"/>
              </w:rPr>
              <w:t xml:space="preserve">, a neutral arrow is considered appropriate. </w:t>
            </w:r>
          </w:p>
        </w:tc>
      </w:tr>
    </w:tbl>
    <w:p w:rsidR="00623832" w:rsidRDefault="00623832" w:rsidP="00623832">
      <w:pPr>
        <w:pStyle w:val="BodyText"/>
        <w:rPr>
          <w:highlight w:val="yellow"/>
        </w:rPr>
      </w:pPr>
    </w:p>
    <w:p w:rsidR="009625C5" w:rsidRPr="00FC4BB9" w:rsidRDefault="009625C5" w:rsidP="00FC4BB9">
      <w:pPr>
        <w:pStyle w:val="ListNumber"/>
        <w:rPr>
          <w:lang w:val="en-US"/>
        </w:rPr>
      </w:pPr>
      <w:r w:rsidRPr="00FC4BB9">
        <w:rPr>
          <w:lang w:val="en-US"/>
        </w:rPr>
        <w:t xml:space="preserve">Table 2 </w:t>
      </w:r>
      <w:proofErr w:type="spellStart"/>
      <w:r w:rsidRPr="00FC4BB9">
        <w:rPr>
          <w:lang w:val="en-US"/>
        </w:rPr>
        <w:t>summarises</w:t>
      </w:r>
      <w:proofErr w:type="spellEnd"/>
      <w:r w:rsidRPr="00FC4BB9">
        <w:rPr>
          <w:lang w:val="en-US"/>
        </w:rPr>
        <w:t xml:space="preserve"> the market signals that need to be taken into account before arriving at a final housing needs figure for the </w:t>
      </w:r>
      <w:r w:rsidR="005F5CF8">
        <w:rPr>
          <w:lang w:val="en-US"/>
        </w:rPr>
        <w:t>Parish</w:t>
      </w:r>
      <w:r w:rsidRPr="00FC4BB9">
        <w:rPr>
          <w:lang w:val="en-US"/>
        </w:rPr>
        <w:t xml:space="preserve">. Two key factors have been identified that would suggest an uplift is warranted. Firstly, the anticipated employment growth in the wider </w:t>
      </w:r>
      <w:r w:rsidR="005F5CF8">
        <w:rPr>
          <w:lang w:val="en-US"/>
        </w:rPr>
        <w:t>District</w:t>
      </w:r>
      <w:r w:rsidRPr="00FC4BB9">
        <w:rPr>
          <w:lang w:val="en-US"/>
        </w:rPr>
        <w:t xml:space="preserve"> and, secondly, the house price growth in recent years together </w:t>
      </w:r>
      <w:r w:rsidRPr="00FC4BB9">
        <w:rPr>
          <w:lang w:val="en-US"/>
        </w:rPr>
        <w:lastRenderedPageBreak/>
        <w:t xml:space="preserve">with the indication from local estate agents that house prices are high in West </w:t>
      </w:r>
      <w:proofErr w:type="spellStart"/>
      <w:r w:rsidRPr="00FC4BB9">
        <w:rPr>
          <w:lang w:val="en-US"/>
        </w:rPr>
        <w:t>Wittering</w:t>
      </w:r>
      <w:proofErr w:type="spellEnd"/>
      <w:r w:rsidRPr="00FC4BB9">
        <w:rPr>
          <w:lang w:val="en-US"/>
        </w:rPr>
        <w:t xml:space="preserve"> compared with its immediate context</w:t>
      </w:r>
      <w:r w:rsidR="00282747" w:rsidRPr="00FC4BB9">
        <w:rPr>
          <w:lang w:val="en-US"/>
        </w:rPr>
        <w:t xml:space="preserve"> (see Table 2 below)</w:t>
      </w:r>
      <w:r w:rsidRPr="00FC4BB9">
        <w:rPr>
          <w:lang w:val="en-US"/>
        </w:rPr>
        <w:t xml:space="preserve">. </w:t>
      </w:r>
    </w:p>
    <w:p w:rsidR="009E6194" w:rsidRPr="00FC4BB9" w:rsidRDefault="009E6194" w:rsidP="00FC4BB9">
      <w:pPr>
        <w:pStyle w:val="ListNumber"/>
        <w:rPr>
          <w:lang w:val="en-US"/>
        </w:rPr>
      </w:pPr>
      <w:r w:rsidRPr="00FC4BB9">
        <w:rPr>
          <w:lang w:val="en-US"/>
        </w:rPr>
        <w:t xml:space="preserve">The evidence assembled points to a severe misalignment </w:t>
      </w:r>
      <w:r w:rsidR="00E22623">
        <w:rPr>
          <w:lang w:val="en-US"/>
        </w:rPr>
        <w:t xml:space="preserve">between the </w:t>
      </w:r>
      <w:r w:rsidRPr="00FC4BB9">
        <w:rPr>
          <w:lang w:val="en-US"/>
        </w:rPr>
        <w:t>housing stock</w:t>
      </w:r>
      <w:r w:rsidR="00E22623">
        <w:rPr>
          <w:lang w:val="en-US"/>
        </w:rPr>
        <w:t xml:space="preserve"> and the needs of the community</w:t>
      </w:r>
      <w:r w:rsidRPr="00FC4BB9">
        <w:rPr>
          <w:lang w:val="en-US"/>
        </w:rPr>
        <w:t xml:space="preserve">, with a preponderance of larger, detached dwellings and a shortage of smaller, more affordable homes. Rather than </w:t>
      </w:r>
      <w:r w:rsidR="002D48CC">
        <w:rPr>
          <w:lang w:val="en-US"/>
        </w:rPr>
        <w:t xml:space="preserve">necessarily substantially </w:t>
      </w:r>
      <w:r w:rsidRPr="00FC4BB9">
        <w:rPr>
          <w:lang w:val="en-US"/>
        </w:rPr>
        <w:t>increas</w:t>
      </w:r>
      <w:r w:rsidR="002D48CC">
        <w:rPr>
          <w:lang w:val="en-US"/>
        </w:rPr>
        <w:t>ing</w:t>
      </w:r>
      <w:r w:rsidRPr="00FC4BB9">
        <w:rPr>
          <w:lang w:val="en-US"/>
        </w:rPr>
        <w:t xml:space="preserve"> the overall stock of dwellings, a</w:t>
      </w:r>
      <w:r w:rsidR="002D48CC">
        <w:rPr>
          <w:lang w:val="en-US"/>
        </w:rPr>
        <w:t>n important</w:t>
      </w:r>
      <w:r w:rsidRPr="00FC4BB9">
        <w:rPr>
          <w:lang w:val="en-US"/>
        </w:rPr>
        <w:t xml:space="preserve"> policy objective should be re-balancing the housing stock </w:t>
      </w:r>
      <w:r w:rsidR="002D48CC">
        <w:rPr>
          <w:lang w:val="en-US"/>
        </w:rPr>
        <w:t xml:space="preserve">profile </w:t>
      </w:r>
      <w:r w:rsidRPr="00FC4BB9">
        <w:rPr>
          <w:lang w:val="en-US"/>
        </w:rPr>
        <w:t xml:space="preserve">to address </w:t>
      </w:r>
      <w:proofErr w:type="gramStart"/>
      <w:r w:rsidRPr="00FC4BB9">
        <w:rPr>
          <w:lang w:val="en-US"/>
        </w:rPr>
        <w:t>these misalignment</w:t>
      </w:r>
      <w:proofErr w:type="gramEnd"/>
      <w:r w:rsidRPr="00FC4BB9">
        <w:rPr>
          <w:lang w:val="en-US"/>
        </w:rPr>
        <w:t xml:space="preserve">. </w:t>
      </w:r>
      <w:r w:rsidR="0007787E" w:rsidRPr="00FC4BB9">
        <w:rPr>
          <w:lang w:val="en-US"/>
        </w:rPr>
        <w:t xml:space="preserve">While this will inevitably mean additional development, it does not provide the basis </w:t>
      </w:r>
      <w:proofErr w:type="gramStart"/>
      <w:r w:rsidR="0007787E" w:rsidRPr="00FC4BB9">
        <w:rPr>
          <w:lang w:val="en-US"/>
        </w:rPr>
        <w:t xml:space="preserve">for </w:t>
      </w:r>
      <w:r w:rsidR="00232BBE">
        <w:rPr>
          <w:lang w:val="en-US"/>
        </w:rPr>
        <w:t xml:space="preserve"> an</w:t>
      </w:r>
      <w:proofErr w:type="gramEnd"/>
      <w:r w:rsidR="00232BBE">
        <w:rPr>
          <w:lang w:val="en-US"/>
        </w:rPr>
        <w:t xml:space="preserve"> </w:t>
      </w:r>
      <w:r w:rsidR="002C5D9F" w:rsidRPr="00FC4BB9">
        <w:rPr>
          <w:lang w:val="en-US"/>
        </w:rPr>
        <w:t>uplift</w:t>
      </w:r>
      <w:r w:rsidR="0007787E" w:rsidRPr="00FC4BB9">
        <w:rPr>
          <w:lang w:val="en-US"/>
        </w:rPr>
        <w:t xml:space="preserve"> in the housing target put forward </w:t>
      </w:r>
      <w:r w:rsidR="00FC4BB9" w:rsidRPr="00FC4BB9">
        <w:rPr>
          <w:lang w:val="en-US"/>
        </w:rPr>
        <w:t>above</w:t>
      </w:r>
      <w:r w:rsidR="0007787E" w:rsidRPr="00FC4BB9">
        <w:rPr>
          <w:lang w:val="en-US"/>
        </w:rPr>
        <w:t>.</w:t>
      </w:r>
    </w:p>
    <w:p w:rsidR="009E6194" w:rsidRPr="00FC4BB9" w:rsidRDefault="009E6194" w:rsidP="00FC4BB9">
      <w:pPr>
        <w:pStyle w:val="ListNumber"/>
        <w:rPr>
          <w:lang w:val="en-US"/>
        </w:rPr>
      </w:pPr>
      <w:r w:rsidRPr="00FC4BB9">
        <w:rPr>
          <w:lang w:val="en-US"/>
        </w:rPr>
        <w:t xml:space="preserve">As regards the evidence of employment growth, data of this kind should be treated with caution given the difficulty </w:t>
      </w:r>
      <w:r w:rsidR="00232BBE">
        <w:rPr>
          <w:lang w:val="en-US"/>
        </w:rPr>
        <w:t>in</w:t>
      </w:r>
      <w:r w:rsidR="00232BBE" w:rsidRPr="00FC4BB9">
        <w:rPr>
          <w:lang w:val="en-US"/>
        </w:rPr>
        <w:t xml:space="preserve"> </w:t>
      </w:r>
      <w:r w:rsidRPr="00FC4BB9">
        <w:rPr>
          <w:lang w:val="en-US"/>
        </w:rPr>
        <w:t xml:space="preserve">making accurate economic forecasts. At the neighbourhood plan level, it can only rarely be used as the sole basis for justifying </w:t>
      </w:r>
      <w:proofErr w:type="gramStart"/>
      <w:r w:rsidR="0007787E" w:rsidRPr="00FC4BB9">
        <w:rPr>
          <w:lang w:val="en-US"/>
        </w:rPr>
        <w:t xml:space="preserve">an </w:t>
      </w:r>
      <w:r w:rsidRPr="00FC4BB9">
        <w:rPr>
          <w:lang w:val="en-US"/>
        </w:rPr>
        <w:t>upli</w:t>
      </w:r>
      <w:r w:rsidR="0007787E" w:rsidRPr="00FC4BB9">
        <w:rPr>
          <w:lang w:val="en-US"/>
        </w:rPr>
        <w:t>ft</w:t>
      </w:r>
      <w:proofErr w:type="gramEnd"/>
      <w:r w:rsidR="0007787E" w:rsidRPr="00FC4BB9">
        <w:rPr>
          <w:lang w:val="en-US"/>
        </w:rPr>
        <w:t xml:space="preserve"> in the housing needs number, for example where the evidence is incontrovertible and is reinforced by other market signals. </w:t>
      </w:r>
    </w:p>
    <w:p w:rsidR="009E6194" w:rsidRPr="00FC4BB9" w:rsidRDefault="009E6194" w:rsidP="00FC4BB9">
      <w:pPr>
        <w:pStyle w:val="ListNumber"/>
        <w:rPr>
          <w:lang w:val="en-US"/>
        </w:rPr>
      </w:pPr>
      <w:r w:rsidRPr="00FC4BB9">
        <w:rPr>
          <w:lang w:val="en-US"/>
        </w:rPr>
        <w:t>These fact</w:t>
      </w:r>
      <w:r w:rsidR="0007787E" w:rsidRPr="00FC4BB9">
        <w:rPr>
          <w:lang w:val="en-US"/>
        </w:rPr>
        <w:t xml:space="preserve">ors therefore do not justify </w:t>
      </w:r>
      <w:proofErr w:type="gramStart"/>
      <w:r w:rsidR="0007787E" w:rsidRPr="00FC4BB9">
        <w:rPr>
          <w:lang w:val="en-US"/>
        </w:rPr>
        <w:t xml:space="preserve">an </w:t>
      </w:r>
      <w:r w:rsidRPr="00FC4BB9">
        <w:rPr>
          <w:lang w:val="en-US"/>
        </w:rPr>
        <w:t>uplift</w:t>
      </w:r>
      <w:proofErr w:type="gramEnd"/>
      <w:r w:rsidRPr="00FC4BB9">
        <w:rPr>
          <w:lang w:val="en-US"/>
        </w:rPr>
        <w:t xml:space="preserve"> in the figure of 182 set out </w:t>
      </w:r>
      <w:r w:rsidR="00B25544">
        <w:rPr>
          <w:lang w:val="en-US"/>
        </w:rPr>
        <w:t>above</w:t>
      </w:r>
      <w:r w:rsidRPr="00FC4BB9">
        <w:rPr>
          <w:lang w:val="en-US"/>
        </w:rPr>
        <w:t xml:space="preserve">, particularly in light of the NPA fulfilling its housing targets under the current adopted plan.   </w:t>
      </w:r>
    </w:p>
    <w:p w:rsidR="00FC4BB9" w:rsidRDefault="00FC4BB9" w:rsidP="00FC4BB9">
      <w:pPr>
        <w:pStyle w:val="Caption"/>
      </w:pPr>
      <w:r>
        <w:t xml:space="preserve">Table </w:t>
      </w:r>
      <w:fldSimple w:instr=" SEQ Table \* ARABIC ">
        <w:r w:rsidR="00B25544">
          <w:rPr>
            <w:noProof/>
          </w:rPr>
          <w:t>2</w:t>
        </w:r>
      </w:fldSimple>
      <w:r>
        <w:t xml:space="preserve">: </w:t>
      </w:r>
      <w:r w:rsidRPr="00B93D87">
        <w:t xml:space="preserve">Summary of factors specific to West Wittering with a potential impact on neighbourhood plan housing </w:t>
      </w:r>
      <w:r w:rsidR="00435EAC">
        <w:t xml:space="preserve">characteristics </w:t>
      </w:r>
    </w:p>
    <w:tbl>
      <w:tblPr>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76"/>
        <w:gridCol w:w="1702"/>
        <w:gridCol w:w="3403"/>
        <w:gridCol w:w="3119"/>
      </w:tblGrid>
      <w:tr w:rsidR="00623832" w:rsidRPr="00B90B1C" w:rsidTr="00FC4BB9">
        <w:trPr>
          <w:tblHeader/>
        </w:trPr>
        <w:tc>
          <w:tcPr>
            <w:tcW w:w="1676" w:type="dxa"/>
            <w:shd w:val="clear" w:color="auto" w:fill="000000" w:themeFill="text1"/>
            <w:hideMark/>
          </w:tcPr>
          <w:p w:rsidR="00623832" w:rsidRPr="00B90B1C" w:rsidRDefault="00623832" w:rsidP="00FC4BB9">
            <w:pPr>
              <w:pStyle w:val="BodyText"/>
              <w:rPr>
                <w:bCs/>
              </w:rPr>
            </w:pPr>
            <w:r w:rsidRPr="00B90B1C">
              <w:rPr>
                <w:bCs/>
              </w:rPr>
              <w:t>Factor</w:t>
            </w:r>
          </w:p>
        </w:tc>
        <w:tc>
          <w:tcPr>
            <w:tcW w:w="1702" w:type="dxa"/>
            <w:shd w:val="clear" w:color="auto" w:fill="000000" w:themeFill="text1"/>
            <w:hideMark/>
          </w:tcPr>
          <w:p w:rsidR="00623832" w:rsidRPr="00B90B1C" w:rsidRDefault="00623832" w:rsidP="00FC4BB9">
            <w:pPr>
              <w:pStyle w:val="BodyText"/>
              <w:rPr>
                <w:bCs/>
              </w:rPr>
            </w:pPr>
            <w:r>
              <w:rPr>
                <w:bCs/>
              </w:rPr>
              <w:t>Source(s) (see Chapter 3</w:t>
            </w:r>
            <w:r w:rsidRPr="00B90B1C">
              <w:rPr>
                <w:bCs/>
              </w:rPr>
              <w:t>)</w:t>
            </w:r>
          </w:p>
        </w:tc>
        <w:tc>
          <w:tcPr>
            <w:tcW w:w="3403" w:type="dxa"/>
            <w:shd w:val="clear" w:color="auto" w:fill="000000" w:themeFill="text1"/>
            <w:hideMark/>
          </w:tcPr>
          <w:p w:rsidR="00623832" w:rsidRPr="00B90B1C" w:rsidRDefault="00623832" w:rsidP="00FC4BB9">
            <w:pPr>
              <w:pStyle w:val="BodyText"/>
              <w:rPr>
                <w:bCs/>
              </w:rPr>
            </w:pPr>
            <w:r w:rsidRPr="00B90B1C">
              <w:rPr>
                <w:bCs/>
              </w:rPr>
              <w:t>Possible impact on housing needed</w:t>
            </w:r>
          </w:p>
        </w:tc>
        <w:tc>
          <w:tcPr>
            <w:tcW w:w="3119" w:type="dxa"/>
            <w:shd w:val="clear" w:color="auto" w:fill="000000" w:themeFill="text1"/>
          </w:tcPr>
          <w:p w:rsidR="00623832" w:rsidRPr="00B90B1C" w:rsidRDefault="00623832" w:rsidP="00FC4BB9">
            <w:pPr>
              <w:pStyle w:val="BodyText"/>
              <w:rPr>
                <w:bCs/>
              </w:rPr>
            </w:pPr>
            <w:r w:rsidRPr="00B90B1C">
              <w:rPr>
                <w:bCs/>
              </w:rPr>
              <w:t>Conclusion</w:t>
            </w:r>
          </w:p>
          <w:p w:rsidR="00623832" w:rsidRPr="00B90B1C" w:rsidRDefault="00623832" w:rsidP="00FC4BB9">
            <w:pPr>
              <w:pStyle w:val="BodyText"/>
              <w:rPr>
                <w:bCs/>
              </w:rPr>
            </w:pPr>
          </w:p>
        </w:tc>
      </w:tr>
      <w:tr w:rsidR="00623832" w:rsidRPr="00B90B1C"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t>Affordable Housing</w:t>
            </w:r>
            <w:r>
              <w:rPr>
                <w:b/>
                <w:bCs/>
              </w:rPr>
              <w:t xml:space="preserve"> (AH)</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pPr>
            <w:r>
              <w:t xml:space="preserve">Land Registry price paid data, </w:t>
            </w:r>
            <w:r w:rsidRPr="00BA1D3D">
              <w:t>CWSS12</w:t>
            </w:r>
            <w:r>
              <w:t xml:space="preserve">, </w:t>
            </w:r>
            <w:r w:rsidRPr="00212B9F">
              <w:t>AHDNS14</w:t>
            </w:r>
            <w:r>
              <w:t>, Local Agents survey</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color w:val="000000" w:themeColor="text1"/>
              </w:rPr>
            </w:pPr>
            <w:r w:rsidRPr="004277B5">
              <w:rPr>
                <w:color w:val="000000" w:themeColor="text1"/>
              </w:rPr>
              <w:t xml:space="preserve">According to data presented in CWSS12, 70% of all households in Chichester South </w:t>
            </w:r>
            <w:r w:rsidR="005F5CF8">
              <w:rPr>
                <w:color w:val="000000" w:themeColor="text1"/>
              </w:rPr>
              <w:t xml:space="preserve"> (a sub-area of the HMA in which West Wittering is located) </w:t>
            </w:r>
            <w:r w:rsidRPr="004277B5">
              <w:rPr>
                <w:color w:val="000000" w:themeColor="text1"/>
              </w:rPr>
              <w:t>can access private rented housing, and 50% are able to buy an entry-level (two bedroom) dwelling priced at £160,000</w:t>
            </w:r>
            <w:r>
              <w:rPr>
                <w:color w:val="000000" w:themeColor="text1"/>
              </w:rPr>
              <w:t>.</w:t>
            </w:r>
          </w:p>
          <w:p w:rsidR="00623832" w:rsidRPr="004277B5" w:rsidRDefault="00623832" w:rsidP="00FC4BB9">
            <w:pPr>
              <w:pStyle w:val="BodyText"/>
              <w:rPr>
                <w:color w:val="000000" w:themeColor="text1"/>
              </w:rPr>
            </w:pPr>
            <w:r w:rsidRPr="004277B5">
              <w:rPr>
                <w:color w:val="000000" w:themeColor="text1"/>
              </w:rPr>
              <w:t xml:space="preserve">Local agents reported at the end of 2017 that prices for entry level dwellings </w:t>
            </w:r>
            <w:r>
              <w:rPr>
                <w:color w:val="000000" w:themeColor="text1"/>
              </w:rPr>
              <w:t xml:space="preserve">(two </w:t>
            </w:r>
            <w:proofErr w:type="gramStart"/>
            <w:r>
              <w:rPr>
                <w:color w:val="000000" w:themeColor="text1"/>
              </w:rPr>
              <w:t>bedroom</w:t>
            </w:r>
            <w:proofErr w:type="gramEnd"/>
            <w:r>
              <w:rPr>
                <w:color w:val="000000" w:themeColor="text1"/>
              </w:rPr>
              <w:t xml:space="preserve">) </w:t>
            </w:r>
            <w:r w:rsidRPr="004277B5">
              <w:rPr>
                <w:color w:val="000000" w:themeColor="text1"/>
              </w:rPr>
              <w:t>may be substantially greater than those reported in the CWSS12, and m</w:t>
            </w:r>
            <w:r>
              <w:rPr>
                <w:color w:val="000000" w:themeColor="text1"/>
              </w:rPr>
              <w:t>ay have reached around £280,000.</w:t>
            </w:r>
          </w:p>
          <w:p w:rsidR="00623832" w:rsidRPr="004277B5" w:rsidRDefault="00623832" w:rsidP="00FC4BB9">
            <w:pPr>
              <w:pStyle w:val="BodyText"/>
              <w:rPr>
                <w:bCs/>
                <w:iCs/>
                <w:color w:val="000000" w:themeColor="text1"/>
                <w:lang w:val="en-US"/>
              </w:rPr>
            </w:pPr>
            <w:r>
              <w:rPr>
                <w:bCs/>
                <w:iCs/>
                <w:color w:val="000000" w:themeColor="text1"/>
                <w:lang w:val="en-US"/>
              </w:rPr>
              <w:t>A Median Affordability R</w:t>
            </w:r>
            <w:r w:rsidRPr="004277B5">
              <w:rPr>
                <w:bCs/>
                <w:iCs/>
                <w:color w:val="000000" w:themeColor="text1"/>
                <w:lang w:val="en-US"/>
              </w:rPr>
              <w:t xml:space="preserve">atio (MAR) of 3.9 is recorded for </w:t>
            </w:r>
            <w:proofErr w:type="spellStart"/>
            <w:r w:rsidRPr="004277B5">
              <w:rPr>
                <w:bCs/>
                <w:iCs/>
                <w:color w:val="000000" w:themeColor="text1"/>
                <w:lang w:val="en-US"/>
              </w:rPr>
              <w:t>Chichester</w:t>
            </w:r>
            <w:proofErr w:type="spellEnd"/>
            <w:r w:rsidRPr="004277B5">
              <w:rPr>
                <w:bCs/>
                <w:iCs/>
                <w:color w:val="000000" w:themeColor="text1"/>
                <w:lang w:val="en-US"/>
              </w:rPr>
              <w:t xml:space="preserve"> South</w:t>
            </w:r>
            <w:r>
              <w:rPr>
                <w:bCs/>
                <w:iCs/>
                <w:color w:val="000000" w:themeColor="text1"/>
                <w:lang w:val="en-US"/>
              </w:rPr>
              <w:t>.</w:t>
            </w:r>
          </w:p>
          <w:p w:rsidR="00623832" w:rsidRPr="004277B5" w:rsidRDefault="00623832" w:rsidP="00FC4BB9">
            <w:pPr>
              <w:pStyle w:val="BodyText"/>
              <w:rPr>
                <w:bCs/>
                <w:iCs/>
                <w:color w:val="000000" w:themeColor="text1"/>
                <w:lang w:val="en-US"/>
              </w:rPr>
            </w:pPr>
            <w:r w:rsidRPr="004277B5">
              <w:rPr>
                <w:bCs/>
                <w:iCs/>
                <w:color w:val="000000" w:themeColor="text1"/>
                <w:lang w:val="en-US"/>
              </w:rPr>
              <w:t xml:space="preserve">The Lower Quartile Affordability Ratio (LQAR) for </w:t>
            </w:r>
            <w:proofErr w:type="spellStart"/>
            <w:r w:rsidRPr="004277B5">
              <w:rPr>
                <w:bCs/>
                <w:iCs/>
                <w:color w:val="000000" w:themeColor="text1"/>
                <w:lang w:val="en-US"/>
              </w:rPr>
              <w:t>Chi</w:t>
            </w:r>
            <w:r>
              <w:rPr>
                <w:bCs/>
                <w:iCs/>
                <w:color w:val="000000" w:themeColor="text1"/>
                <w:lang w:val="en-US"/>
              </w:rPr>
              <w:t>chester</w:t>
            </w:r>
            <w:proofErr w:type="spellEnd"/>
            <w:r>
              <w:rPr>
                <w:bCs/>
                <w:iCs/>
                <w:color w:val="000000" w:themeColor="text1"/>
                <w:lang w:val="en-US"/>
              </w:rPr>
              <w:t xml:space="preserve"> is reported to be 10.41.</w:t>
            </w:r>
          </w:p>
          <w:p w:rsidR="00623832" w:rsidRPr="004277B5" w:rsidRDefault="00623832" w:rsidP="00DF035B">
            <w:pPr>
              <w:pStyle w:val="BodyText"/>
              <w:rPr>
                <w:color w:val="000000" w:themeColor="text1"/>
              </w:rPr>
            </w:pPr>
            <w:r w:rsidRPr="004277B5">
              <w:rPr>
                <w:bCs/>
                <w:iCs/>
                <w:color w:val="000000" w:themeColor="text1"/>
                <w:lang w:val="en-US"/>
              </w:rPr>
              <w:t xml:space="preserve">Between 2007 and 2016, house prices </w:t>
            </w:r>
            <w:r w:rsidR="00DF035B">
              <w:rPr>
                <w:bCs/>
                <w:iCs/>
                <w:color w:val="000000" w:themeColor="text1"/>
                <w:lang w:val="en-US"/>
              </w:rPr>
              <w:t>were</w:t>
            </w:r>
            <w:r w:rsidR="00DF035B" w:rsidRPr="004277B5">
              <w:rPr>
                <w:bCs/>
                <w:iCs/>
                <w:color w:val="000000" w:themeColor="text1"/>
                <w:lang w:val="en-US"/>
              </w:rPr>
              <w:t xml:space="preserve"> </w:t>
            </w:r>
            <w:r w:rsidRPr="004277B5">
              <w:rPr>
                <w:bCs/>
                <w:iCs/>
                <w:color w:val="000000" w:themeColor="text1"/>
                <w:lang w:val="en-US"/>
              </w:rPr>
              <w:t xml:space="preserve">reported to have increased by 18% in West </w:t>
            </w:r>
            <w:proofErr w:type="spellStart"/>
            <w:r w:rsidRPr="004277B5">
              <w:rPr>
                <w:bCs/>
                <w:iCs/>
                <w:color w:val="000000" w:themeColor="text1"/>
                <w:lang w:val="en-US"/>
              </w:rPr>
              <w:t>Wittering</w:t>
            </w:r>
            <w:proofErr w:type="spellEnd"/>
            <w:r w:rsidRPr="004277B5">
              <w:rPr>
                <w:bCs/>
                <w:iCs/>
                <w:color w:val="000000" w:themeColor="text1"/>
                <w:lang w:val="en-US"/>
              </w:rPr>
              <w:t>.</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ListNumber"/>
              <w:numPr>
                <w:ilvl w:val="0"/>
                <w:numId w:val="0"/>
              </w:numPr>
              <w:rPr>
                <w:bCs/>
                <w:iCs/>
                <w:color w:val="000000" w:themeColor="text1"/>
                <w:lang w:val="en-US"/>
              </w:rPr>
            </w:pPr>
            <w:r w:rsidRPr="004277B5">
              <w:rPr>
                <w:bCs/>
                <w:iCs/>
                <w:color w:val="000000" w:themeColor="text1"/>
                <w:lang w:val="en-US"/>
              </w:rPr>
              <w:t xml:space="preserve">Based on evidence of need drawn from </w:t>
            </w:r>
            <w:proofErr w:type="spellStart"/>
            <w:r w:rsidRPr="004277B5">
              <w:rPr>
                <w:bCs/>
                <w:iCs/>
                <w:color w:val="000000" w:themeColor="text1"/>
                <w:lang w:val="en-US"/>
              </w:rPr>
              <w:t>Chichester’s</w:t>
            </w:r>
            <w:proofErr w:type="spellEnd"/>
            <w:r w:rsidRPr="004277B5">
              <w:rPr>
                <w:bCs/>
                <w:iCs/>
                <w:color w:val="000000" w:themeColor="text1"/>
                <w:lang w:val="en-US"/>
              </w:rPr>
              <w:t xml:space="preserve"> Housing Waiting List Register (that shows </w:t>
            </w:r>
            <w:r w:rsidR="00DF035B">
              <w:rPr>
                <w:bCs/>
                <w:iCs/>
                <w:color w:val="000000" w:themeColor="text1"/>
                <w:lang w:val="en-US"/>
              </w:rPr>
              <w:t>nine</w:t>
            </w:r>
            <w:r w:rsidR="00DF035B" w:rsidRPr="004277B5">
              <w:rPr>
                <w:bCs/>
                <w:iCs/>
                <w:color w:val="000000" w:themeColor="text1"/>
                <w:lang w:val="en-US"/>
              </w:rPr>
              <w:t xml:space="preserve"> </w:t>
            </w:r>
            <w:r w:rsidRPr="004277B5">
              <w:rPr>
                <w:bCs/>
                <w:iCs/>
                <w:color w:val="000000" w:themeColor="text1"/>
                <w:lang w:val="en-US"/>
              </w:rPr>
              <w:t>households expressing an interest in occu</w:t>
            </w:r>
            <w:r>
              <w:rPr>
                <w:bCs/>
                <w:iCs/>
                <w:color w:val="000000" w:themeColor="text1"/>
                <w:lang w:val="en-US"/>
              </w:rPr>
              <w:t xml:space="preserve">pying housing in West </w:t>
            </w:r>
            <w:proofErr w:type="spellStart"/>
            <w:r>
              <w:rPr>
                <w:bCs/>
                <w:iCs/>
                <w:color w:val="000000" w:themeColor="text1"/>
                <w:lang w:val="en-US"/>
              </w:rPr>
              <w:t>Wittering</w:t>
            </w:r>
            <w:proofErr w:type="spellEnd"/>
            <w:r>
              <w:rPr>
                <w:bCs/>
                <w:iCs/>
                <w:color w:val="000000" w:themeColor="text1"/>
                <w:lang w:val="en-US"/>
              </w:rPr>
              <w:t>)</w:t>
            </w:r>
            <w:r w:rsidR="00DF035B">
              <w:rPr>
                <w:bCs/>
                <w:iCs/>
                <w:color w:val="000000" w:themeColor="text1"/>
                <w:lang w:val="en-US"/>
              </w:rPr>
              <w:t>,</w:t>
            </w:r>
            <w:r w:rsidRPr="004277B5">
              <w:rPr>
                <w:bCs/>
                <w:iCs/>
                <w:color w:val="000000" w:themeColor="text1"/>
                <w:lang w:val="en-US"/>
              </w:rPr>
              <w:t xml:space="preserve"> there is no basis on which to seek a different proportion of affordable housing from </w:t>
            </w:r>
            <w:r>
              <w:rPr>
                <w:bCs/>
                <w:iCs/>
                <w:color w:val="000000" w:themeColor="text1"/>
                <w:lang w:val="en-US"/>
              </w:rPr>
              <w:t xml:space="preserve">new residential </w:t>
            </w:r>
            <w:r w:rsidRPr="004277B5">
              <w:rPr>
                <w:bCs/>
                <w:iCs/>
                <w:color w:val="000000" w:themeColor="text1"/>
                <w:lang w:val="en-US"/>
              </w:rPr>
              <w:t xml:space="preserve">development </w:t>
            </w:r>
            <w:r>
              <w:rPr>
                <w:bCs/>
                <w:iCs/>
                <w:color w:val="000000" w:themeColor="text1"/>
                <w:lang w:val="en-US"/>
              </w:rPr>
              <w:t>coming forward over the Plan period than Policy 34 of CLP.</w:t>
            </w:r>
            <w:r w:rsidRPr="004277B5">
              <w:rPr>
                <w:bCs/>
                <w:iCs/>
                <w:color w:val="000000" w:themeColor="text1"/>
                <w:lang w:val="en-US"/>
              </w:rPr>
              <w:t xml:space="preserve"> </w:t>
            </w:r>
          </w:p>
          <w:p w:rsidR="00623832" w:rsidRPr="004277B5" w:rsidRDefault="00623832" w:rsidP="00FC4BB9">
            <w:pPr>
              <w:pStyle w:val="ListNumber"/>
              <w:numPr>
                <w:ilvl w:val="0"/>
                <w:numId w:val="0"/>
              </w:numPr>
              <w:rPr>
                <w:bCs/>
                <w:iCs/>
                <w:color w:val="000000" w:themeColor="text1"/>
                <w:lang w:val="en-US"/>
              </w:rPr>
            </w:pPr>
            <w:r w:rsidRPr="004277B5">
              <w:rPr>
                <w:bCs/>
                <w:iCs/>
                <w:color w:val="000000" w:themeColor="text1"/>
                <w:lang w:val="en-US"/>
              </w:rPr>
              <w:t xml:space="preserve">However, given </w:t>
            </w:r>
            <w:r w:rsidR="00EA4085">
              <w:rPr>
                <w:bCs/>
                <w:iCs/>
                <w:color w:val="000000" w:themeColor="text1"/>
                <w:lang w:val="en-US"/>
              </w:rPr>
              <w:t xml:space="preserve">that </w:t>
            </w:r>
            <w:r w:rsidRPr="004277B5">
              <w:rPr>
                <w:bCs/>
                <w:iCs/>
                <w:color w:val="000000" w:themeColor="text1"/>
                <w:lang w:val="en-US"/>
              </w:rPr>
              <w:t xml:space="preserve">the waiting list may under-report need and the conclusions in this study relating to affordability of housing </w:t>
            </w:r>
            <w:r>
              <w:rPr>
                <w:bCs/>
                <w:iCs/>
                <w:color w:val="000000" w:themeColor="text1"/>
                <w:lang w:val="en-US"/>
              </w:rPr>
              <w:t xml:space="preserve">to those </w:t>
            </w:r>
            <w:r w:rsidRPr="004277B5">
              <w:rPr>
                <w:bCs/>
                <w:iCs/>
                <w:color w:val="000000" w:themeColor="text1"/>
                <w:lang w:val="en-US"/>
              </w:rPr>
              <w:t>on low incomes, WWPC should adopt an assertive attitude regard</w:t>
            </w:r>
            <w:r w:rsidR="00EA4085">
              <w:rPr>
                <w:bCs/>
                <w:iCs/>
                <w:color w:val="000000" w:themeColor="text1"/>
                <w:lang w:val="en-US"/>
              </w:rPr>
              <w:t>ing</w:t>
            </w:r>
            <w:r w:rsidRPr="004277B5">
              <w:rPr>
                <w:bCs/>
                <w:iCs/>
                <w:color w:val="000000" w:themeColor="text1"/>
                <w:lang w:val="en-US"/>
              </w:rPr>
              <w:t xml:space="preserve"> the </w:t>
            </w:r>
            <w:r>
              <w:rPr>
                <w:bCs/>
                <w:iCs/>
                <w:color w:val="000000" w:themeColor="text1"/>
                <w:lang w:val="en-US"/>
              </w:rPr>
              <w:t>delivery of affordable housing.</w:t>
            </w:r>
            <w:r w:rsidRPr="004277B5">
              <w:rPr>
                <w:bCs/>
                <w:iCs/>
                <w:color w:val="000000" w:themeColor="text1"/>
                <w:lang w:val="en-US"/>
              </w:rPr>
              <w:t xml:space="preserve"> </w:t>
            </w:r>
          </w:p>
          <w:p w:rsidR="00623832" w:rsidRPr="004277B5" w:rsidRDefault="00623832" w:rsidP="00FC4BB9">
            <w:pPr>
              <w:pStyle w:val="BodyText"/>
              <w:rPr>
                <w:color w:val="000000" w:themeColor="text1"/>
              </w:rPr>
            </w:pPr>
            <w:r w:rsidRPr="004277B5">
              <w:rPr>
                <w:color w:val="000000" w:themeColor="text1"/>
              </w:rPr>
              <w:t>The high LQAR suggests those households on the lowest incomes will struggle to access housing of a suitable size; it is therefore appropriate that the majority of AH fal</w:t>
            </w:r>
            <w:r>
              <w:rPr>
                <w:color w:val="000000" w:themeColor="text1"/>
              </w:rPr>
              <w:t>l into the ‘social rented’ category.</w:t>
            </w:r>
            <w:r w:rsidRPr="004277B5">
              <w:rPr>
                <w:color w:val="000000" w:themeColor="text1"/>
              </w:rPr>
              <w:t xml:space="preserve"> </w:t>
            </w:r>
          </w:p>
          <w:p w:rsidR="00623832" w:rsidRPr="004277B5" w:rsidRDefault="00623832" w:rsidP="00FC4BB9">
            <w:pPr>
              <w:pStyle w:val="BodyText"/>
              <w:rPr>
                <w:color w:val="000000" w:themeColor="text1"/>
              </w:rPr>
            </w:pPr>
            <w:r w:rsidRPr="004277B5">
              <w:rPr>
                <w:color w:val="000000" w:themeColor="text1"/>
              </w:rPr>
              <w:t>Given the relatively high cost of housing in West Wittering (based on estate agent feedback) we do not see a role for Discounted for Sale Dwellings (for example starter homes) given that, once the 20% discount has been taken into account, prices are likely to remain beyond the reach of first time buyer</w:t>
            </w:r>
            <w:r>
              <w:rPr>
                <w:color w:val="000000" w:themeColor="text1"/>
              </w:rPr>
              <w:t>s.</w:t>
            </w:r>
            <w:r w:rsidRPr="004277B5">
              <w:rPr>
                <w:color w:val="000000" w:themeColor="text1"/>
              </w:rPr>
              <w:t xml:space="preserve"> </w:t>
            </w:r>
          </w:p>
          <w:p w:rsidR="00623832" w:rsidRPr="004277B5" w:rsidRDefault="00623832" w:rsidP="00FC4BB9">
            <w:pPr>
              <w:pStyle w:val="BodyText"/>
              <w:rPr>
                <w:color w:val="000000" w:themeColor="text1"/>
              </w:rPr>
            </w:pPr>
            <w:r w:rsidRPr="004277B5">
              <w:rPr>
                <w:color w:val="000000" w:themeColor="text1"/>
              </w:rPr>
              <w:t>Notwithstanding</w:t>
            </w:r>
            <w:r w:rsidR="002F0796">
              <w:rPr>
                <w:color w:val="000000" w:themeColor="text1"/>
              </w:rPr>
              <w:t xml:space="preserve"> this</w:t>
            </w:r>
            <w:r w:rsidRPr="004277B5">
              <w:rPr>
                <w:color w:val="000000" w:themeColor="text1"/>
              </w:rPr>
              <w:t xml:space="preserve">, we do see a </w:t>
            </w:r>
            <w:r w:rsidRPr="004277B5">
              <w:rPr>
                <w:color w:val="000000" w:themeColor="text1"/>
              </w:rPr>
              <w:lastRenderedPageBreak/>
              <w:t>role for other forms of i</w:t>
            </w:r>
            <w:r>
              <w:rPr>
                <w:color w:val="000000" w:themeColor="text1"/>
              </w:rPr>
              <w:t>ntermediate housing, for example</w:t>
            </w:r>
            <w:r w:rsidRPr="004277B5">
              <w:rPr>
                <w:color w:val="000000" w:themeColor="text1"/>
              </w:rPr>
              <w:t xml:space="preserve"> share</w:t>
            </w:r>
            <w:r>
              <w:rPr>
                <w:color w:val="000000" w:themeColor="text1"/>
              </w:rPr>
              <w:t>d equity dwellings.</w:t>
            </w:r>
          </w:p>
        </w:tc>
      </w:tr>
      <w:tr w:rsidR="00623832" w:rsidRPr="00B90B1C" w:rsidTr="00FC4BB9">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lastRenderedPageBreak/>
              <w:t>Demand/need for smaller dwellings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pPr>
            <w:r>
              <w:t>Census</w:t>
            </w:r>
            <w:r w:rsidR="00C32039">
              <w:t xml:space="preserve"> 2001/2011</w:t>
            </w:r>
            <w:r>
              <w:t>, CWSS12</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Default="00623832" w:rsidP="00FC4BB9">
            <w:pPr>
              <w:pStyle w:val="BodyText"/>
              <w:rPr>
                <w:bCs/>
                <w:iCs/>
                <w:color w:val="000000" w:themeColor="text1"/>
                <w:lang w:val="en-US"/>
              </w:rPr>
            </w:pPr>
            <w:r w:rsidRPr="004277B5">
              <w:rPr>
                <w:bCs/>
                <w:iCs/>
                <w:color w:val="000000" w:themeColor="text1"/>
                <w:lang w:val="en-US"/>
              </w:rPr>
              <w:t xml:space="preserve">Census data shows a high proportion of the population living alone (37.5%) compared with the </w:t>
            </w:r>
            <w:r w:rsidR="005F5CF8">
              <w:rPr>
                <w:bCs/>
                <w:iCs/>
                <w:color w:val="000000" w:themeColor="text1"/>
                <w:lang w:val="en-US"/>
              </w:rPr>
              <w:t>District</w:t>
            </w:r>
            <w:r w:rsidRPr="004277B5">
              <w:rPr>
                <w:bCs/>
                <w:iCs/>
                <w:color w:val="000000" w:themeColor="text1"/>
                <w:lang w:val="en-US"/>
              </w:rPr>
              <w:t xml:space="preserve"> </w:t>
            </w:r>
            <w:r w:rsidR="002D0A70">
              <w:rPr>
                <w:bCs/>
                <w:iCs/>
                <w:color w:val="000000" w:themeColor="text1"/>
                <w:lang w:val="en-US"/>
              </w:rPr>
              <w:t xml:space="preserve">as a whole </w:t>
            </w:r>
            <w:r w:rsidRPr="004277B5">
              <w:rPr>
                <w:bCs/>
                <w:iCs/>
                <w:color w:val="000000" w:themeColor="text1"/>
                <w:lang w:val="en-US"/>
              </w:rPr>
              <w:t>(32%); this group has grown substantially over the inter-censual period, recording an increase of 59 households over the period, the majority of whom were under 65</w:t>
            </w:r>
            <w:r>
              <w:rPr>
                <w:bCs/>
                <w:iCs/>
                <w:color w:val="000000" w:themeColor="text1"/>
                <w:lang w:val="en-US"/>
              </w:rPr>
              <w:t xml:space="preserve">. </w:t>
            </w:r>
          </w:p>
          <w:p w:rsidR="00623832" w:rsidRDefault="00623832" w:rsidP="00FC4BB9">
            <w:pPr>
              <w:pStyle w:val="BodyText"/>
              <w:rPr>
                <w:color w:val="000000" w:themeColor="text1"/>
              </w:rPr>
            </w:pPr>
            <w:r>
              <w:rPr>
                <w:color w:val="000000" w:themeColor="text1"/>
              </w:rPr>
              <w:t>4% of households occupy dwellings of 1-3 habitable rooms.</w:t>
            </w:r>
          </w:p>
          <w:p w:rsidR="00623832" w:rsidRDefault="00623832" w:rsidP="00FC4BB9">
            <w:pPr>
              <w:pStyle w:val="BodyText"/>
              <w:rPr>
                <w:color w:val="000000" w:themeColor="text1"/>
              </w:rPr>
            </w:pPr>
            <w:r w:rsidRPr="00670A38">
              <w:rPr>
                <w:color w:val="000000" w:themeColor="text1"/>
              </w:rPr>
              <w:t>In Chichester South, the CWSS12 suggests roughly a third of all new residential development for the open market should be of 1-3 habitable rooms in size</w:t>
            </w:r>
            <w:r>
              <w:rPr>
                <w:color w:val="000000" w:themeColor="text1"/>
              </w:rPr>
              <w:t xml:space="preserve">. </w:t>
            </w:r>
          </w:p>
          <w:p w:rsidR="00623832" w:rsidRPr="004277B5" w:rsidRDefault="00623832" w:rsidP="00FC4BB9">
            <w:pPr>
              <w:pStyle w:val="BodyText"/>
              <w:rPr>
                <w:color w:val="000000" w:themeColor="text1"/>
              </w:rPr>
            </w:pPr>
            <w:r w:rsidRPr="00670A38">
              <w:rPr>
                <w:color w:val="000000" w:themeColor="text1"/>
              </w:rPr>
              <w:t>For affordable homes, the CWSS12 suggests a larger proportion should be concentrated at the smaller end of the scale</w:t>
            </w:r>
            <w:r>
              <w:rPr>
                <w:color w:val="000000" w:themeColor="text1"/>
              </w:rPr>
              <w:t xml:space="preserve"> than for open market dwellings</w:t>
            </w:r>
            <w:r w:rsidRPr="00670A38">
              <w:rPr>
                <w:color w:val="000000" w:themeColor="text1"/>
              </w:rPr>
              <w:t xml:space="preserve">, with 66.8% of all new AH dwellings being 1-3 habitable rooms in size. </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Default="00623832" w:rsidP="00FC4BB9">
            <w:pPr>
              <w:pStyle w:val="BodyText"/>
              <w:rPr>
                <w:color w:val="000000" w:themeColor="text1"/>
              </w:rPr>
            </w:pPr>
            <w:r>
              <w:rPr>
                <w:color w:val="000000" w:themeColor="text1"/>
              </w:rPr>
              <w:t xml:space="preserve">The low proportion of households living in small dwellings </w:t>
            </w:r>
            <w:r w:rsidRPr="00670A38">
              <w:rPr>
                <w:color w:val="000000" w:themeColor="text1"/>
              </w:rPr>
              <w:t>must lead us to query whether the housing stock is suited to community need given</w:t>
            </w:r>
            <w:r>
              <w:rPr>
                <w:color w:val="000000" w:themeColor="text1"/>
              </w:rPr>
              <w:t>, firstly,</w:t>
            </w:r>
            <w:r w:rsidRPr="00670A38">
              <w:rPr>
                <w:color w:val="000000" w:themeColor="text1"/>
              </w:rPr>
              <w:t xml:space="preserve"> the changes that have been observed over the inter-censual period, in particular the </w:t>
            </w:r>
            <w:r>
              <w:rPr>
                <w:color w:val="000000" w:themeColor="text1"/>
              </w:rPr>
              <w:t xml:space="preserve">growth in one person households and, secondly, the affordability issues faced by those on lower incomes. </w:t>
            </w:r>
          </w:p>
          <w:p w:rsidR="00623832" w:rsidRPr="004277B5" w:rsidRDefault="00623832" w:rsidP="00FC4BB9">
            <w:pPr>
              <w:pStyle w:val="BodyText"/>
              <w:rPr>
                <w:color w:val="000000" w:themeColor="text1"/>
              </w:rPr>
            </w:pPr>
            <w:r>
              <w:rPr>
                <w:color w:val="000000" w:themeColor="text1"/>
              </w:rPr>
              <w:t xml:space="preserve">Evidence from the CWSS12 provides clear support for smaller dwellings, and may be used as the justification for developing policy in this direction. </w:t>
            </w:r>
          </w:p>
        </w:tc>
      </w:tr>
      <w:tr w:rsidR="00623832" w:rsidRPr="00B90B1C"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t>Demographic change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pPr>
            <w:r>
              <w:t>Census</w:t>
            </w:r>
            <w:r w:rsidR="00C32039">
              <w:t xml:space="preserve"> 2001/2011</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bCs/>
                <w:iCs/>
                <w:color w:val="000000" w:themeColor="text1"/>
                <w:lang w:val="en-US"/>
              </w:rPr>
            </w:pPr>
            <w:r w:rsidRPr="004277B5">
              <w:rPr>
                <w:bCs/>
                <w:iCs/>
                <w:color w:val="000000" w:themeColor="text1"/>
                <w:lang w:val="en-US"/>
              </w:rPr>
              <w:t>The 2011 Census identified an under-representation of those aged under 44</w:t>
            </w:r>
            <w:r w:rsidR="005F5CF8">
              <w:rPr>
                <w:bCs/>
                <w:iCs/>
                <w:color w:val="000000" w:themeColor="text1"/>
                <w:lang w:val="en-US"/>
              </w:rPr>
              <w:t xml:space="preserve"> in the NPA</w:t>
            </w:r>
            <w:r w:rsidRPr="004277B5">
              <w:rPr>
                <w:bCs/>
                <w:iCs/>
                <w:color w:val="000000" w:themeColor="text1"/>
                <w:lang w:val="en-US"/>
              </w:rPr>
              <w:t xml:space="preserve">, with large disparities with </w:t>
            </w:r>
            <w:r w:rsidR="005F5CF8">
              <w:rPr>
                <w:bCs/>
                <w:iCs/>
                <w:color w:val="000000" w:themeColor="text1"/>
                <w:lang w:val="en-US"/>
              </w:rPr>
              <w:t>District</w:t>
            </w:r>
            <w:r w:rsidRPr="004277B5">
              <w:rPr>
                <w:bCs/>
                <w:iCs/>
                <w:color w:val="000000" w:themeColor="text1"/>
                <w:lang w:val="en-US"/>
              </w:rPr>
              <w:t xml:space="preserve"> and national geographies</w:t>
            </w:r>
            <w:r>
              <w:rPr>
                <w:bCs/>
                <w:iCs/>
                <w:color w:val="000000" w:themeColor="text1"/>
                <w:lang w:val="en-US"/>
              </w:rPr>
              <w:t>.</w:t>
            </w:r>
          </w:p>
          <w:p w:rsidR="00623832" w:rsidRPr="004277B5" w:rsidRDefault="00623832" w:rsidP="00FC4BB9">
            <w:pPr>
              <w:pStyle w:val="BodyText"/>
              <w:rPr>
                <w:bCs/>
                <w:iCs/>
                <w:color w:val="000000" w:themeColor="text1"/>
                <w:lang w:val="en-US"/>
              </w:rPr>
            </w:pPr>
            <w:r w:rsidRPr="004277B5">
              <w:rPr>
                <w:bCs/>
                <w:iCs/>
                <w:color w:val="000000" w:themeColor="text1"/>
                <w:lang w:val="en-US"/>
              </w:rPr>
              <w:t xml:space="preserve">Over the inter-censual period, the representation of families declined, with the largest fall </w:t>
            </w:r>
            <w:r w:rsidR="00435665">
              <w:rPr>
                <w:bCs/>
                <w:iCs/>
                <w:color w:val="000000" w:themeColor="text1"/>
                <w:lang w:val="en-US"/>
              </w:rPr>
              <w:t xml:space="preserve">being </w:t>
            </w:r>
            <w:r w:rsidRPr="004277B5">
              <w:rPr>
                <w:bCs/>
                <w:iCs/>
                <w:color w:val="000000" w:themeColor="text1"/>
                <w:lang w:val="en-US"/>
              </w:rPr>
              <w:t>those with dependent children (10.2%)</w:t>
            </w:r>
            <w:r>
              <w:rPr>
                <w:bCs/>
                <w:iCs/>
                <w:color w:val="000000" w:themeColor="text1"/>
                <w:lang w:val="en-US"/>
              </w:rPr>
              <w:t>.</w:t>
            </w:r>
          </w:p>
          <w:p w:rsidR="00623832" w:rsidRPr="004277B5" w:rsidRDefault="00623832" w:rsidP="00FC4BB9">
            <w:pPr>
              <w:pStyle w:val="BodyText"/>
              <w:rPr>
                <w:bCs/>
                <w:iCs/>
                <w:color w:val="000000" w:themeColor="text1"/>
                <w:lang w:val="en-US"/>
              </w:rPr>
            </w:pPr>
            <w:r w:rsidRPr="004277B5">
              <w:rPr>
                <w:bCs/>
                <w:iCs/>
                <w:color w:val="000000" w:themeColor="text1"/>
                <w:lang w:val="en-US"/>
              </w:rPr>
              <w:t>42% of residents were aged 65+ at the time of the last Census</w:t>
            </w:r>
            <w:r>
              <w:rPr>
                <w:bCs/>
                <w:iCs/>
                <w:color w:val="000000" w:themeColor="text1"/>
                <w:lang w:val="en-US"/>
              </w:rPr>
              <w:t>.</w:t>
            </w:r>
          </w:p>
          <w:p w:rsidR="00623832" w:rsidRPr="004277B5" w:rsidRDefault="00623832" w:rsidP="00FC4BB9">
            <w:pPr>
              <w:pStyle w:val="BodyText"/>
              <w:rPr>
                <w:bCs/>
                <w:iCs/>
                <w:color w:val="000000" w:themeColor="text1"/>
                <w:lang w:val="en-US"/>
              </w:rPr>
            </w:pPr>
            <w:r w:rsidRPr="004277B5">
              <w:rPr>
                <w:bCs/>
                <w:iCs/>
                <w:color w:val="000000" w:themeColor="text1"/>
                <w:lang w:val="en-US"/>
              </w:rPr>
              <w:t xml:space="preserve">Data for the </w:t>
            </w:r>
            <w:r w:rsidR="005F5CF8">
              <w:rPr>
                <w:bCs/>
                <w:iCs/>
                <w:color w:val="000000" w:themeColor="text1"/>
                <w:lang w:val="en-US"/>
              </w:rPr>
              <w:t>District</w:t>
            </w:r>
            <w:r w:rsidRPr="004277B5">
              <w:rPr>
                <w:bCs/>
                <w:iCs/>
                <w:color w:val="000000" w:themeColor="text1"/>
                <w:lang w:val="en-US"/>
              </w:rPr>
              <w:t xml:space="preserve"> provides a strong indication that the growth in one-person households as a share of the overall population will continue to increase over the Plan period.</w:t>
            </w:r>
          </w:p>
          <w:p w:rsidR="00623832" w:rsidRPr="004277B5" w:rsidRDefault="00623832" w:rsidP="00FC4BB9">
            <w:pPr>
              <w:pStyle w:val="BodyText"/>
              <w:rPr>
                <w:bCs/>
                <w:iCs/>
                <w:color w:val="000000" w:themeColor="text1"/>
                <w:lang w:val="en-US"/>
              </w:rPr>
            </w:pPr>
            <w:r w:rsidRPr="004277B5">
              <w:rPr>
                <w:bCs/>
                <w:iCs/>
                <w:color w:val="000000" w:themeColor="text1"/>
                <w:lang w:val="en-US"/>
              </w:rPr>
              <w:t xml:space="preserve">Using </w:t>
            </w:r>
            <w:r w:rsidR="005F5CF8">
              <w:rPr>
                <w:bCs/>
                <w:iCs/>
                <w:color w:val="000000" w:themeColor="text1"/>
                <w:lang w:val="en-US"/>
              </w:rPr>
              <w:t>District</w:t>
            </w:r>
            <w:r w:rsidRPr="004277B5">
              <w:rPr>
                <w:bCs/>
                <w:iCs/>
                <w:color w:val="000000" w:themeColor="text1"/>
                <w:lang w:val="en-US"/>
              </w:rPr>
              <w:t xml:space="preserve"> level data as a guide to future trends, </w:t>
            </w:r>
            <w:r>
              <w:rPr>
                <w:bCs/>
                <w:iCs/>
                <w:color w:val="000000" w:themeColor="text1"/>
                <w:lang w:val="en-US"/>
              </w:rPr>
              <w:t xml:space="preserve">the </w:t>
            </w:r>
            <w:r w:rsidRPr="004277B5">
              <w:rPr>
                <w:bCs/>
                <w:iCs/>
                <w:color w:val="000000" w:themeColor="text1"/>
                <w:lang w:val="en-US"/>
              </w:rPr>
              <w:t xml:space="preserve">characteristics identified in </w:t>
            </w:r>
            <w:r w:rsidR="00F95859">
              <w:rPr>
                <w:bCs/>
                <w:iCs/>
                <w:color w:val="000000" w:themeColor="text1"/>
                <w:lang w:val="en-US"/>
              </w:rPr>
              <w:t>C</w:t>
            </w:r>
            <w:r w:rsidRPr="004277B5">
              <w:rPr>
                <w:bCs/>
                <w:iCs/>
                <w:color w:val="000000" w:themeColor="text1"/>
                <w:lang w:val="en-US"/>
              </w:rPr>
              <w:t xml:space="preserve">ensus are likely to become more pronounced over the Plan period. </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color w:val="000000" w:themeColor="text1"/>
              </w:rPr>
            </w:pPr>
            <w:r>
              <w:rPr>
                <w:color w:val="000000" w:themeColor="text1"/>
              </w:rPr>
              <w:t xml:space="preserve">The relatively low number of adults aged under 44, and the fall in families </w:t>
            </w:r>
            <w:r w:rsidRPr="004277B5">
              <w:rPr>
                <w:color w:val="000000" w:themeColor="text1"/>
              </w:rPr>
              <w:t xml:space="preserve">threaten to undermine the vitality and viability of the settlement. If this continues, it is likely to reduce demand for infrastructure targeted at </w:t>
            </w:r>
            <w:r>
              <w:rPr>
                <w:color w:val="000000" w:themeColor="text1"/>
              </w:rPr>
              <w:t>these groups</w:t>
            </w:r>
            <w:r w:rsidRPr="004277B5">
              <w:rPr>
                <w:color w:val="000000" w:themeColor="text1"/>
              </w:rPr>
              <w:t>, for example pr</w:t>
            </w:r>
            <w:r>
              <w:rPr>
                <w:color w:val="000000" w:themeColor="text1"/>
              </w:rPr>
              <w:t>imary schools, as well as businesses and services for the general population.</w:t>
            </w:r>
          </w:p>
        </w:tc>
      </w:tr>
      <w:tr w:rsidR="00623832" w:rsidRPr="00B90B1C"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t>Dwelling type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pPr>
            <w:r>
              <w:t>Census</w:t>
            </w:r>
            <w:r w:rsidR="00C32039">
              <w:t xml:space="preserve"> 2001/2011</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color w:val="000000" w:themeColor="text1"/>
              </w:rPr>
            </w:pPr>
            <w:r w:rsidRPr="00670A38">
              <w:rPr>
                <w:color w:val="000000" w:themeColor="text1"/>
              </w:rPr>
              <w:t xml:space="preserve">West Wittering shows a clear preponderance of detached dwellings, in contrast to Chichester which shows a more even balance between houses of </w:t>
            </w:r>
            <w:r w:rsidRPr="00670A38">
              <w:rPr>
                <w:color w:val="000000" w:themeColor="text1"/>
              </w:rPr>
              <w:lastRenderedPageBreak/>
              <w:t>different types.</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color w:val="000000" w:themeColor="text1"/>
              </w:rPr>
            </w:pPr>
            <w:r>
              <w:rPr>
                <w:color w:val="000000" w:themeColor="text1"/>
              </w:rPr>
              <w:lastRenderedPageBreak/>
              <w:t xml:space="preserve">The dominance of detached dwellings is consistent with the finding that the housing market is beyond the reach of many and there </w:t>
            </w:r>
            <w:r>
              <w:rPr>
                <w:color w:val="000000" w:themeColor="text1"/>
              </w:rPr>
              <w:lastRenderedPageBreak/>
              <w:t xml:space="preserve">is a fundamental misalignment between the existing housing stock and the type and size of dwellings required by the community in future years.  </w:t>
            </w:r>
          </w:p>
        </w:tc>
      </w:tr>
      <w:tr w:rsidR="00623832" w:rsidRPr="00B90B1C"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lastRenderedPageBreak/>
              <w:t>Family-sized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pPr>
            <w:r w:rsidRPr="00670A38">
              <w:rPr>
                <w:color w:val="000000" w:themeColor="text1"/>
              </w:rPr>
              <w:t>CWSS12</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Default="00623832" w:rsidP="00FC4BB9">
            <w:pPr>
              <w:pStyle w:val="BodyText"/>
              <w:rPr>
                <w:color w:val="000000" w:themeColor="text1"/>
              </w:rPr>
            </w:pPr>
            <w:r w:rsidRPr="00670A38">
              <w:rPr>
                <w:color w:val="000000" w:themeColor="text1"/>
              </w:rPr>
              <w:t xml:space="preserve">In Chichester South, the CWSS12 suggests </w:t>
            </w:r>
            <w:r>
              <w:rPr>
                <w:color w:val="000000" w:themeColor="text1"/>
              </w:rPr>
              <w:t>m</w:t>
            </w:r>
            <w:r w:rsidRPr="00670A38">
              <w:rPr>
                <w:color w:val="000000" w:themeColor="text1"/>
              </w:rPr>
              <w:t>edium sized homes of three bedrooms (4-5 habitable rooms) should c</w:t>
            </w:r>
            <w:r>
              <w:rPr>
                <w:color w:val="000000" w:themeColor="text1"/>
              </w:rPr>
              <w:t>onstitute 48.5% of all market dwellings</w:t>
            </w:r>
            <w:r w:rsidRPr="00670A38">
              <w:rPr>
                <w:color w:val="000000" w:themeColor="text1"/>
              </w:rPr>
              <w:t xml:space="preserve">, and 18.2% should be apportioned to larger </w:t>
            </w:r>
            <w:r>
              <w:rPr>
                <w:color w:val="000000" w:themeColor="text1"/>
              </w:rPr>
              <w:t>homes.</w:t>
            </w:r>
          </w:p>
          <w:p w:rsidR="00623832" w:rsidRPr="004277B5" w:rsidRDefault="00623832" w:rsidP="00FC4BB9">
            <w:pPr>
              <w:pStyle w:val="BodyText"/>
              <w:rPr>
                <w:color w:val="000000" w:themeColor="text1"/>
              </w:rPr>
            </w:pPr>
            <w:r w:rsidRPr="00670A38">
              <w:rPr>
                <w:color w:val="000000" w:themeColor="text1"/>
              </w:rPr>
              <w:t xml:space="preserve">In Chichester South, the CWSS12 suggests 30.1% of </w:t>
            </w:r>
            <w:r>
              <w:rPr>
                <w:color w:val="000000" w:themeColor="text1"/>
              </w:rPr>
              <w:t>affordable homes should be m</w:t>
            </w:r>
            <w:r w:rsidRPr="00670A38">
              <w:rPr>
                <w:color w:val="000000" w:themeColor="text1"/>
              </w:rPr>
              <w:t>edium sized homes of three bedrooms (4-5 habitable rooms), and only 3% of larger size.</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4277B5" w:rsidRDefault="00623832" w:rsidP="00FC4BB9">
            <w:pPr>
              <w:pStyle w:val="BodyText"/>
              <w:rPr>
                <w:color w:val="000000" w:themeColor="text1"/>
              </w:rPr>
            </w:pPr>
            <w:r>
              <w:rPr>
                <w:color w:val="000000" w:themeColor="text1"/>
              </w:rPr>
              <w:t xml:space="preserve">There is a strong argument for the provision of family housing within the overall mix. The evidence assembled may be used to justify policy that seeks a balanced community in terms of age, household composition and income group. </w:t>
            </w:r>
          </w:p>
        </w:tc>
      </w:tr>
      <w:tr w:rsidR="00623832" w:rsidRPr="00B90B1C" w:rsidTr="00FC4BB9">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B90B1C" w:rsidRDefault="00623832" w:rsidP="00FC4BB9">
            <w:pPr>
              <w:pStyle w:val="BodyText"/>
              <w:rPr>
                <w:b/>
                <w:bCs/>
              </w:rPr>
            </w:pPr>
            <w:r w:rsidRPr="00B90B1C">
              <w:rPr>
                <w:b/>
                <w:bCs/>
              </w:rPr>
              <w:t>Housing for independent living for older people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3F6F7E" w:rsidRDefault="00623832" w:rsidP="00FC4BB9">
            <w:pPr>
              <w:pStyle w:val="BodyText"/>
              <w:rPr>
                <w:bCs/>
              </w:rPr>
            </w:pPr>
            <w:r w:rsidRPr="00670A38">
              <w:rPr>
                <w:color w:val="000000" w:themeColor="text1"/>
              </w:rPr>
              <w:t>CWSS12</w:t>
            </w:r>
            <w:r>
              <w:rPr>
                <w:color w:val="000000" w:themeColor="text1"/>
              </w:rPr>
              <w:t xml:space="preserve">, Census, Housing </w:t>
            </w:r>
            <w:r w:rsidRPr="00A7065F">
              <w:rPr>
                <w:color w:val="000000" w:themeColor="text1"/>
              </w:rPr>
              <w:t>Learning and Improvement Network</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Default="00623832" w:rsidP="00FC4BB9">
            <w:pPr>
              <w:pStyle w:val="BodyText"/>
              <w:rPr>
                <w:bCs/>
                <w:iCs/>
                <w:color w:val="000000" w:themeColor="text1"/>
                <w:lang w:val="en-US"/>
              </w:rPr>
            </w:pPr>
            <w:r w:rsidRPr="004277B5">
              <w:rPr>
                <w:bCs/>
                <w:iCs/>
                <w:color w:val="000000" w:themeColor="text1"/>
                <w:lang w:val="en-US"/>
              </w:rPr>
              <w:t xml:space="preserve">The </w:t>
            </w:r>
            <w:r w:rsidR="005F5CF8">
              <w:rPr>
                <w:bCs/>
                <w:iCs/>
                <w:color w:val="000000" w:themeColor="text1"/>
                <w:lang w:val="en-US"/>
              </w:rPr>
              <w:t>District</w:t>
            </w:r>
            <w:r w:rsidRPr="004277B5">
              <w:rPr>
                <w:bCs/>
                <w:iCs/>
                <w:color w:val="000000" w:themeColor="text1"/>
                <w:lang w:val="en-US"/>
              </w:rPr>
              <w:t xml:space="preserve"> data shows a substantial increase in the populati</w:t>
            </w:r>
            <w:r>
              <w:rPr>
                <w:bCs/>
                <w:iCs/>
                <w:color w:val="000000" w:themeColor="text1"/>
                <w:lang w:val="en-US"/>
              </w:rPr>
              <w:t xml:space="preserve">on of those aged 65+. </w:t>
            </w:r>
          </w:p>
          <w:p w:rsidR="00623832" w:rsidRPr="004277B5" w:rsidRDefault="00623832" w:rsidP="00C2364D">
            <w:pPr>
              <w:pStyle w:val="BodyText"/>
              <w:rPr>
                <w:bCs/>
                <w:color w:val="000000" w:themeColor="text1"/>
              </w:rPr>
            </w:pPr>
            <w:r>
              <w:rPr>
                <w:bCs/>
                <w:iCs/>
                <w:color w:val="000000" w:themeColor="text1"/>
                <w:lang w:val="en-US"/>
              </w:rPr>
              <w:t>G</w:t>
            </w:r>
            <w:r w:rsidRPr="004277B5">
              <w:rPr>
                <w:bCs/>
                <w:iCs/>
                <w:color w:val="000000" w:themeColor="text1"/>
                <w:lang w:val="en-US"/>
              </w:rPr>
              <w:t xml:space="preserve">iven </w:t>
            </w:r>
            <w:r w:rsidR="00C2364D">
              <w:rPr>
                <w:bCs/>
                <w:iCs/>
                <w:color w:val="000000" w:themeColor="text1"/>
                <w:lang w:val="en-US"/>
              </w:rPr>
              <w:t xml:space="preserve">that </w:t>
            </w:r>
            <w:r w:rsidRPr="004277B5">
              <w:rPr>
                <w:bCs/>
                <w:iCs/>
                <w:color w:val="000000" w:themeColor="text1"/>
                <w:lang w:val="en-US"/>
              </w:rPr>
              <w:t xml:space="preserve">the population of the NPA </w:t>
            </w:r>
            <w:r w:rsidR="00C2364D">
              <w:rPr>
                <w:bCs/>
                <w:iCs/>
                <w:color w:val="000000" w:themeColor="text1"/>
                <w:lang w:val="en-US"/>
              </w:rPr>
              <w:t>is already</w:t>
            </w:r>
            <w:r w:rsidRPr="004277B5">
              <w:rPr>
                <w:bCs/>
                <w:iCs/>
                <w:color w:val="000000" w:themeColor="text1"/>
                <w:lang w:val="en-US"/>
              </w:rPr>
              <w:t xml:space="preserve"> strongly ag</w:t>
            </w:r>
            <w:r w:rsidR="00C2364D">
              <w:rPr>
                <w:bCs/>
                <w:iCs/>
                <w:color w:val="000000" w:themeColor="text1"/>
                <w:lang w:val="en-US"/>
              </w:rPr>
              <w:t>e</w:t>
            </w:r>
            <w:r w:rsidRPr="004277B5">
              <w:rPr>
                <w:bCs/>
                <w:iCs/>
                <w:color w:val="000000" w:themeColor="text1"/>
                <w:lang w:val="en-US"/>
              </w:rPr>
              <w:t xml:space="preserve">ing, a reasonable conclusion would be that trends forecast for the </w:t>
            </w:r>
            <w:r w:rsidR="005F5CF8">
              <w:rPr>
                <w:bCs/>
                <w:iCs/>
                <w:color w:val="000000" w:themeColor="text1"/>
                <w:lang w:val="en-US"/>
              </w:rPr>
              <w:t>District</w:t>
            </w:r>
            <w:r w:rsidRPr="004277B5">
              <w:rPr>
                <w:bCs/>
                <w:iCs/>
                <w:color w:val="000000" w:themeColor="text1"/>
                <w:lang w:val="en-US"/>
              </w:rPr>
              <w:t xml:space="preserve"> are likely to be more extreme in West </w:t>
            </w:r>
            <w:proofErr w:type="spellStart"/>
            <w:r w:rsidRPr="004277B5">
              <w:rPr>
                <w:bCs/>
                <w:iCs/>
                <w:color w:val="000000" w:themeColor="text1"/>
                <w:lang w:val="en-US"/>
              </w:rPr>
              <w:t>Wittering</w:t>
            </w:r>
            <w:proofErr w:type="spellEnd"/>
            <w:r w:rsidRPr="004277B5">
              <w:rPr>
                <w:bCs/>
                <w:iCs/>
                <w:color w:val="000000" w:themeColor="text1"/>
                <w:lang w:val="en-US"/>
              </w:rPr>
              <w:t>.</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23832" w:rsidRPr="00C0690C" w:rsidRDefault="00623832" w:rsidP="00FC4BB9">
            <w:pPr>
              <w:pStyle w:val="BodyText"/>
              <w:rPr>
                <w:color w:val="000000" w:themeColor="text1"/>
                <w:lang w:val="en-US"/>
              </w:rPr>
            </w:pPr>
            <w:r>
              <w:rPr>
                <w:color w:val="000000" w:themeColor="text1"/>
                <w:lang w:val="en-US"/>
              </w:rPr>
              <w:t>Using the H</w:t>
            </w:r>
            <w:r w:rsidRPr="00C0690C">
              <w:rPr>
                <w:color w:val="000000" w:themeColor="text1"/>
                <w:lang w:val="en-US"/>
              </w:rPr>
              <w:t>ousing LIN</w:t>
            </w:r>
            <w:r w:rsidR="006E3705">
              <w:rPr>
                <w:rStyle w:val="FootnoteReference"/>
                <w:lang w:val="en-US"/>
              </w:rPr>
              <w:footnoteReference w:id="5"/>
            </w:r>
            <w:r w:rsidR="006E3705">
              <w:rPr>
                <w:color w:val="000000" w:themeColor="text1"/>
                <w:lang w:val="en-US"/>
              </w:rPr>
              <w:t xml:space="preserve"> </w:t>
            </w:r>
            <w:r w:rsidRPr="00C0690C">
              <w:rPr>
                <w:color w:val="000000" w:themeColor="text1"/>
                <w:lang w:val="en-US"/>
              </w:rPr>
              <w:t xml:space="preserve">approach, over the Plan period, this HNA has identified a need in the </w:t>
            </w:r>
            <w:r w:rsidR="005F5CF8">
              <w:rPr>
                <w:color w:val="000000" w:themeColor="text1"/>
                <w:lang w:val="en-US"/>
              </w:rPr>
              <w:t>Parish</w:t>
            </w:r>
            <w:r w:rsidRPr="00C0690C">
              <w:rPr>
                <w:color w:val="000000" w:themeColor="text1"/>
                <w:lang w:val="en-US"/>
              </w:rPr>
              <w:t xml:space="preserve"> for: </w:t>
            </w:r>
          </w:p>
          <w:p w:rsidR="00623832" w:rsidRPr="00C0690C" w:rsidRDefault="00623832" w:rsidP="00FC4BB9">
            <w:pPr>
              <w:pStyle w:val="BodyText"/>
              <w:rPr>
                <w:color w:val="000000" w:themeColor="text1"/>
                <w:lang w:val="en-US"/>
              </w:rPr>
            </w:pPr>
            <w:r w:rsidRPr="00C0690C">
              <w:rPr>
                <w:color w:val="000000" w:themeColor="text1"/>
                <w:lang w:val="en-US"/>
              </w:rPr>
              <w:t>10 additional conventional sheltered housing units</w:t>
            </w:r>
          </w:p>
          <w:p w:rsidR="00623832" w:rsidRPr="00C0690C" w:rsidRDefault="00623832" w:rsidP="00FC4BB9">
            <w:pPr>
              <w:pStyle w:val="BodyText"/>
              <w:rPr>
                <w:color w:val="000000" w:themeColor="text1"/>
                <w:lang w:val="en-US"/>
              </w:rPr>
            </w:pPr>
            <w:r w:rsidRPr="00C0690C">
              <w:rPr>
                <w:color w:val="000000" w:themeColor="text1"/>
                <w:lang w:val="en-US"/>
              </w:rPr>
              <w:t>20 additional leasehold sheltered housing units</w:t>
            </w:r>
          </w:p>
          <w:p w:rsidR="00623832" w:rsidRPr="00C0690C" w:rsidRDefault="00623832" w:rsidP="00FC4BB9">
            <w:pPr>
              <w:pStyle w:val="BodyText"/>
              <w:rPr>
                <w:color w:val="000000" w:themeColor="text1"/>
                <w:lang w:val="en-US"/>
              </w:rPr>
            </w:pPr>
            <w:r w:rsidRPr="00C0690C">
              <w:rPr>
                <w:color w:val="000000" w:themeColor="text1"/>
                <w:lang w:val="en-US"/>
              </w:rPr>
              <w:t>4 additional ‘enhanced’ sheltered units, split 50:50 between those for rent and those for sale</w:t>
            </w:r>
          </w:p>
          <w:p w:rsidR="00623832" w:rsidRPr="00C0690C" w:rsidRDefault="00623832" w:rsidP="00FC4BB9">
            <w:pPr>
              <w:pStyle w:val="BodyText"/>
              <w:rPr>
                <w:color w:val="000000" w:themeColor="text1"/>
                <w:lang w:val="en-US"/>
              </w:rPr>
            </w:pPr>
            <w:r w:rsidRPr="00C0690C">
              <w:rPr>
                <w:color w:val="000000" w:themeColor="text1"/>
                <w:lang w:val="en-US"/>
              </w:rPr>
              <w:t>3 additional extra care housing units for rent</w:t>
            </w:r>
          </w:p>
          <w:p w:rsidR="00623832" w:rsidRPr="00C0690C" w:rsidRDefault="00623832" w:rsidP="00FC4BB9">
            <w:pPr>
              <w:pStyle w:val="BodyText"/>
              <w:rPr>
                <w:color w:val="000000" w:themeColor="text1"/>
                <w:lang w:val="en-US"/>
              </w:rPr>
            </w:pPr>
            <w:r w:rsidRPr="00C0690C">
              <w:rPr>
                <w:color w:val="000000" w:themeColor="text1"/>
                <w:lang w:val="en-US"/>
              </w:rPr>
              <w:t>6 additional extra care housing units for sale</w:t>
            </w:r>
          </w:p>
          <w:p w:rsidR="00623832" w:rsidRDefault="00623832" w:rsidP="00FC4BB9">
            <w:pPr>
              <w:pStyle w:val="BodyText"/>
              <w:rPr>
                <w:color w:val="000000" w:themeColor="text1"/>
                <w:lang w:val="en-US"/>
              </w:rPr>
            </w:pPr>
            <w:r w:rsidRPr="00C0690C">
              <w:rPr>
                <w:color w:val="000000" w:themeColor="text1"/>
                <w:lang w:val="en-US"/>
              </w:rPr>
              <w:t>1 additional specialist dementia care home</w:t>
            </w:r>
          </w:p>
          <w:p w:rsidR="00623832" w:rsidRPr="004277B5" w:rsidRDefault="00623832" w:rsidP="00FC4BB9">
            <w:pPr>
              <w:pStyle w:val="BodyText"/>
              <w:rPr>
                <w:color w:val="000000" w:themeColor="text1"/>
                <w:lang w:val="en-US"/>
              </w:rPr>
            </w:pPr>
            <w:r>
              <w:rPr>
                <w:color w:val="000000" w:themeColor="text1"/>
                <w:lang w:val="en-US"/>
              </w:rPr>
              <w:t xml:space="preserve">There is no obligation on the </w:t>
            </w:r>
            <w:r w:rsidR="005F5CF8">
              <w:rPr>
                <w:color w:val="000000" w:themeColor="text1"/>
                <w:lang w:val="en-US"/>
              </w:rPr>
              <w:t>Parish</w:t>
            </w:r>
            <w:r>
              <w:rPr>
                <w:color w:val="000000" w:themeColor="text1"/>
                <w:lang w:val="en-US"/>
              </w:rPr>
              <w:t xml:space="preserve"> to satisfy the need for 44 specialist dwellings for the elderly, and they may be </w:t>
            </w:r>
            <w:r w:rsidR="00267154">
              <w:rPr>
                <w:color w:val="000000" w:themeColor="text1"/>
                <w:lang w:val="en-US"/>
              </w:rPr>
              <w:t xml:space="preserve">better provided </w:t>
            </w:r>
            <w:proofErr w:type="gramStart"/>
            <w:r w:rsidR="00267154">
              <w:rPr>
                <w:color w:val="000000" w:themeColor="text1"/>
                <w:lang w:val="en-US"/>
              </w:rPr>
              <w:t xml:space="preserve">at </w:t>
            </w:r>
            <w:r>
              <w:rPr>
                <w:color w:val="000000" w:themeColor="text1"/>
                <w:lang w:val="en-US"/>
              </w:rPr>
              <w:t xml:space="preserve"> settlements</w:t>
            </w:r>
            <w:proofErr w:type="gramEnd"/>
            <w:r>
              <w:rPr>
                <w:color w:val="000000" w:themeColor="text1"/>
                <w:lang w:val="en-US"/>
              </w:rPr>
              <w:t xml:space="preserve"> that can provide better access to services</w:t>
            </w:r>
            <w:r w:rsidR="00267154">
              <w:rPr>
                <w:color w:val="000000" w:themeColor="text1"/>
                <w:lang w:val="en-US"/>
              </w:rPr>
              <w:t>; however, the need should be borne in mind in formulating the plan’s housing policies.</w:t>
            </w:r>
            <w:r>
              <w:rPr>
                <w:color w:val="000000" w:themeColor="text1"/>
                <w:lang w:val="en-US"/>
              </w:rPr>
              <w:t xml:space="preserve"> </w:t>
            </w:r>
          </w:p>
        </w:tc>
      </w:tr>
    </w:tbl>
    <w:p w:rsidR="00623832" w:rsidRPr="00B90B1C" w:rsidRDefault="00623832" w:rsidP="00623832">
      <w:pPr>
        <w:pStyle w:val="BodyText"/>
        <w:rPr>
          <w:b/>
          <w:lang w:val="en-US"/>
        </w:rPr>
      </w:pPr>
    </w:p>
    <w:p w:rsidR="00623832" w:rsidRPr="00B90B1C" w:rsidRDefault="00623832" w:rsidP="00623832">
      <w:pPr>
        <w:pStyle w:val="BodyText"/>
        <w:rPr>
          <w:b/>
          <w:lang w:val="en-US"/>
        </w:rPr>
      </w:pPr>
    </w:p>
    <w:p w:rsidR="00E80CC8" w:rsidRPr="00E80CC8" w:rsidRDefault="00E80CC8" w:rsidP="00BE0DA4">
      <w:pPr>
        <w:pStyle w:val="Figure"/>
      </w:pPr>
      <w:r w:rsidRPr="00E80CC8">
        <w:lastRenderedPageBreak/>
        <w:br w:type="page"/>
      </w:r>
    </w:p>
    <w:p w:rsidR="00E80CC8" w:rsidRPr="00E80CC8" w:rsidRDefault="00E80CC8" w:rsidP="008D11A6">
      <w:pPr>
        <w:pStyle w:val="Caption"/>
        <w:rPr>
          <w:lang w:val="en-US"/>
        </w:rPr>
      </w:pPr>
      <w:r w:rsidRPr="00E80CC8">
        <w:rPr>
          <w:lang w:val="en-US"/>
        </w:rPr>
        <w:lastRenderedPageBreak/>
        <w:t>Recommendations for next steps</w:t>
      </w:r>
    </w:p>
    <w:p w:rsidR="000C7B46" w:rsidRPr="000C7B46" w:rsidRDefault="000C7B46" w:rsidP="000C7B46">
      <w:pPr>
        <w:pStyle w:val="ListNumber"/>
        <w:rPr>
          <w:lang w:val="en-US"/>
        </w:rPr>
      </w:pPr>
      <w:r w:rsidRPr="000C7B46">
        <w:rPr>
          <w:lang w:val="en-US"/>
        </w:rPr>
        <w:t xml:space="preserve">This neighbourhood plan housing needs advice has aimed to provide WWPC with evidence on housing trends from a range of sources. We recommend that the </w:t>
      </w:r>
      <w:r w:rsidR="005F5CF8">
        <w:rPr>
          <w:lang w:val="en-US"/>
        </w:rPr>
        <w:t>Parish</w:t>
      </w:r>
      <w:r w:rsidRPr="000C7B46">
        <w:rPr>
          <w:lang w:val="en-US"/>
        </w:rPr>
        <w:t xml:space="preserve"> should, as a next step, discuss the contents and conclusions with CDC with a view to agreeing and formulating draft housing policies, in particular the appropriate approach to identifying the level of </w:t>
      </w:r>
      <w:r w:rsidR="00C55AF9">
        <w:rPr>
          <w:lang w:val="en-US"/>
        </w:rPr>
        <w:t xml:space="preserve">new housing </w:t>
      </w:r>
      <w:r w:rsidRPr="000C7B46">
        <w:rPr>
          <w:lang w:val="en-US"/>
        </w:rPr>
        <w:t>need in the NP area, bearing the following in mind:</w:t>
      </w:r>
    </w:p>
    <w:p w:rsidR="000C7B46" w:rsidRPr="000C7B46" w:rsidRDefault="000C7B46" w:rsidP="000C7B46">
      <w:pPr>
        <w:pStyle w:val="ListNumber"/>
        <w:numPr>
          <w:ilvl w:val="0"/>
          <w:numId w:val="36"/>
        </w:numPr>
      </w:pPr>
      <w:r w:rsidRPr="000C7B46">
        <w:t>Neighbourhood Planning Basic Condition A, that it has regard to national policies and advice contained in guidance issued by the Secretary of State; Condition D, that the making of the neighbourhood plan contributes to the achievement of sustainable development; and Condition E, which is the need for the neighbourhood plan to be in general conformity with the adopted strategic development plan;</w:t>
      </w:r>
    </w:p>
    <w:p w:rsidR="000C7B46" w:rsidRPr="000C7B46" w:rsidRDefault="000C7B46" w:rsidP="000C7B46">
      <w:pPr>
        <w:pStyle w:val="ListBullet"/>
      </w:pPr>
      <w:r w:rsidRPr="000C7B46">
        <w:t>the views of CDC – in particular in relation to the housing need figure that should be adopted;</w:t>
      </w:r>
    </w:p>
    <w:p w:rsidR="000C7B46" w:rsidRPr="000C7B46" w:rsidRDefault="000C7B46" w:rsidP="000C7B46">
      <w:pPr>
        <w:pStyle w:val="ListBullet"/>
      </w:pPr>
      <w:r w:rsidRPr="000C7B46">
        <w:t>the views of local residents;</w:t>
      </w:r>
    </w:p>
    <w:p w:rsidR="000C7B46" w:rsidRPr="000C7B46" w:rsidRDefault="000C7B46" w:rsidP="000C7B46">
      <w:pPr>
        <w:pStyle w:val="ListBullet"/>
      </w:pPr>
      <w:r w:rsidRPr="000C7B46">
        <w:t xml:space="preserve">the views of other relevant local stakeholders, including housing developers; </w:t>
      </w:r>
    </w:p>
    <w:p w:rsidR="000C7B46" w:rsidRPr="000C7B46" w:rsidRDefault="000C7B46" w:rsidP="000C7B46">
      <w:pPr>
        <w:pStyle w:val="ListBullet"/>
      </w:pPr>
      <w:r w:rsidRPr="000C7B46">
        <w:t>the numerous supply-side considerations, including local environmental constraints, the location and characteristics of suitable land, and any capacity work carried out by the CDC, including but not limited to the SHLAA</w:t>
      </w:r>
      <w:r w:rsidR="00C55AF9">
        <w:t>;</w:t>
      </w:r>
    </w:p>
    <w:p w:rsidR="000C7B46" w:rsidRPr="000C7B46" w:rsidRDefault="000C7B46" w:rsidP="000C7B46">
      <w:pPr>
        <w:pStyle w:val="ListBullet"/>
      </w:pPr>
      <w:r w:rsidRPr="000C7B46">
        <w:t>the recommendations and findings of this study; and</w:t>
      </w:r>
    </w:p>
    <w:p w:rsidR="000C7B46" w:rsidRPr="000C7B46" w:rsidRDefault="00C55AF9" w:rsidP="000C7B46">
      <w:pPr>
        <w:pStyle w:val="ListBullet"/>
      </w:pPr>
      <w:proofErr w:type="gramStart"/>
      <w:r>
        <w:t>t</w:t>
      </w:r>
      <w:r w:rsidR="000C7B46" w:rsidRPr="000C7B46">
        <w:t>he</w:t>
      </w:r>
      <w:proofErr w:type="gramEnd"/>
      <w:r w:rsidR="000C7B46" w:rsidRPr="000C7B46">
        <w:t xml:space="preserve"> impact of the new Government proposed standard methodology on calculating housing need </w:t>
      </w:r>
      <w:r>
        <w:t>for</w:t>
      </w:r>
      <w:r w:rsidRPr="000C7B46">
        <w:t xml:space="preserve"> </w:t>
      </w:r>
      <w:r w:rsidR="000C7B46" w:rsidRPr="000C7B46">
        <w:t xml:space="preserve">the </w:t>
      </w:r>
      <w:r w:rsidR="005F5CF8">
        <w:t>District</w:t>
      </w:r>
      <w:r w:rsidR="000C7B46" w:rsidRPr="000C7B46">
        <w:t xml:space="preserve"> and its neighbourhoods.</w:t>
      </w:r>
    </w:p>
    <w:p w:rsidR="000C7B46" w:rsidRPr="000C7B46" w:rsidRDefault="000C7B46" w:rsidP="000C7B46">
      <w:pPr>
        <w:pStyle w:val="ListNumber"/>
        <w:rPr>
          <w:lang w:val="en-US"/>
        </w:rPr>
      </w:pPr>
      <w:r w:rsidRPr="000C7B46">
        <w:rPr>
          <w:lang w:val="en-US"/>
        </w:rPr>
        <w:t>Recent changes to the planning system, forthcoming changes to the NPPF, as well as the implementation of the Housing and Planning Act, will continue to affect housing policies at a local authority and, by extension, a neighbourhood level.</w:t>
      </w:r>
    </w:p>
    <w:p w:rsidR="000C7B46" w:rsidRPr="000C7B46" w:rsidRDefault="000C7B46" w:rsidP="000C7B46">
      <w:pPr>
        <w:pStyle w:val="ListNumber"/>
        <w:rPr>
          <w:lang w:val="en-US"/>
        </w:rPr>
      </w:pPr>
      <w:r w:rsidRPr="000C7B46">
        <w:rPr>
          <w:lang w:val="en-US"/>
        </w:rPr>
        <w:t>This advice note has been provided in good faith by AECOM on the basis of housing data and national guidance current at the time of writing (alongside other relevant and available information).</w:t>
      </w:r>
    </w:p>
    <w:p w:rsidR="000C7B46" w:rsidRPr="000C7B46" w:rsidRDefault="000C7B46" w:rsidP="000C7B46">
      <w:pPr>
        <w:pStyle w:val="ListNumber"/>
        <w:rPr>
          <w:lang w:val="en-US"/>
        </w:rPr>
      </w:pPr>
      <w:r w:rsidRPr="000C7B46">
        <w:rPr>
          <w:lang w:val="en-US"/>
        </w:rPr>
        <w:t xml:space="preserve">Bearing this in mind, we recommend that the steering group should monitor carefully strategies and documents with an impact on housing policy produced by the LPA or any other relevant body and review the neighbourhood plan accordingly to ensure that general conformity is maintained. </w:t>
      </w:r>
    </w:p>
    <w:p w:rsidR="00E80CC8" w:rsidRPr="00E80CC8" w:rsidRDefault="000C7B46" w:rsidP="009144D7">
      <w:pPr>
        <w:pStyle w:val="ListNumber"/>
        <w:rPr>
          <w:sz w:val="22"/>
          <w:szCs w:val="22"/>
          <w:lang w:val="en-US"/>
        </w:rPr>
      </w:pPr>
      <w:r w:rsidRPr="000C7B46">
        <w:rPr>
          <w:lang w:val="en-US"/>
        </w:rPr>
        <w:t xml:space="preserve">At the same time, monitoring on-going demographic or other trends over the period in which the neighbourhood plan is being developed (factors summarised in Table 1) would help ensure </w:t>
      </w:r>
      <w:r w:rsidR="00C55AF9">
        <w:rPr>
          <w:lang w:val="en-US"/>
        </w:rPr>
        <w:t xml:space="preserve">the </w:t>
      </w:r>
      <w:r w:rsidRPr="000C7B46">
        <w:rPr>
          <w:lang w:val="en-US"/>
        </w:rPr>
        <w:t>relevance and credibility of its policies.</w:t>
      </w:r>
    </w:p>
    <w:p w:rsidR="000C7B46" w:rsidRDefault="000C7B46">
      <w:pPr>
        <w:tabs>
          <w:tab w:val="clear" w:pos="284"/>
        </w:tabs>
        <w:spacing w:line="240" w:lineRule="auto"/>
        <w:rPr>
          <w:rFonts w:asciiTheme="majorHAnsi" w:eastAsiaTheme="majorEastAsia" w:hAnsiTheme="majorHAnsi" w:cstheme="majorBidi"/>
          <w:b/>
          <w:bCs/>
          <w:color w:val="00B5E2" w:themeColor="accent1"/>
          <w:sz w:val="30"/>
          <w:szCs w:val="28"/>
          <w:lang w:val="en-US"/>
        </w:rPr>
      </w:pPr>
      <w:r>
        <w:rPr>
          <w:lang w:val="en-US"/>
        </w:rPr>
        <w:br w:type="page"/>
      </w:r>
    </w:p>
    <w:p w:rsidR="00E80CC8" w:rsidRPr="009925FE" w:rsidRDefault="00E80CC8" w:rsidP="00E80CC8">
      <w:pPr>
        <w:pStyle w:val="Heading1"/>
        <w:rPr>
          <w:lang w:val="en-US"/>
        </w:rPr>
      </w:pPr>
      <w:bookmarkStart w:id="62" w:name="_Toc504464718"/>
      <w:r w:rsidRPr="00E80CC8">
        <w:rPr>
          <w:lang w:val="en-US"/>
        </w:rPr>
        <w:lastRenderedPageBreak/>
        <w:t>Context</w:t>
      </w:r>
      <w:bookmarkStart w:id="63" w:name="_Toc425332010"/>
      <w:bookmarkStart w:id="64" w:name="_Toc461696212"/>
      <w:bookmarkEnd w:id="62"/>
    </w:p>
    <w:p w:rsidR="00FC4BB9" w:rsidRPr="00FC4BB9" w:rsidRDefault="00FC4BB9" w:rsidP="00FC4BB9">
      <w:pPr>
        <w:pStyle w:val="ListNumber"/>
        <w:rPr>
          <w:lang w:val="en-US"/>
        </w:rPr>
      </w:pPr>
      <w:r w:rsidRPr="0041485F">
        <w:rPr>
          <w:lang w:val="en-US"/>
        </w:rPr>
        <w:t xml:space="preserve">West </w:t>
      </w:r>
      <w:proofErr w:type="spellStart"/>
      <w:r w:rsidRPr="0041485F">
        <w:rPr>
          <w:lang w:val="en-US"/>
        </w:rPr>
        <w:t>Wittering</w:t>
      </w:r>
      <w:proofErr w:type="spellEnd"/>
      <w:r w:rsidRPr="0041485F">
        <w:rPr>
          <w:lang w:val="en-US"/>
        </w:rPr>
        <w:t xml:space="preserve"> is a village and civil </w:t>
      </w:r>
      <w:r w:rsidR="005F5CF8">
        <w:rPr>
          <w:lang w:val="en-US"/>
        </w:rPr>
        <w:t>Parish</w:t>
      </w:r>
      <w:r w:rsidRPr="0041485F">
        <w:rPr>
          <w:lang w:val="en-US"/>
        </w:rPr>
        <w:t xml:space="preserve"> sitting within the </w:t>
      </w:r>
      <w:proofErr w:type="spellStart"/>
      <w:r w:rsidRPr="0041485F">
        <w:rPr>
          <w:lang w:val="en-US"/>
        </w:rPr>
        <w:t>Chichester</w:t>
      </w:r>
      <w:proofErr w:type="spellEnd"/>
      <w:r w:rsidRPr="0041485F">
        <w:rPr>
          <w:lang w:val="en-US"/>
        </w:rPr>
        <w:t xml:space="preserve"> </w:t>
      </w:r>
      <w:r w:rsidR="005F5CF8">
        <w:rPr>
          <w:lang w:val="en-US"/>
        </w:rPr>
        <w:t>District</w:t>
      </w:r>
      <w:r w:rsidRPr="0041485F">
        <w:rPr>
          <w:lang w:val="en-US"/>
        </w:rPr>
        <w:t xml:space="preserve"> of West Sussex</w:t>
      </w:r>
      <w:r>
        <w:rPr>
          <w:lang w:val="en-US"/>
        </w:rPr>
        <w:t xml:space="preserve">, situated </w:t>
      </w:r>
      <w:r w:rsidR="003B3A0E">
        <w:rPr>
          <w:lang w:val="en-US"/>
        </w:rPr>
        <w:t xml:space="preserve">nine </w:t>
      </w:r>
      <w:r>
        <w:rPr>
          <w:lang w:val="en-US"/>
        </w:rPr>
        <w:t xml:space="preserve">miles south-west of </w:t>
      </w:r>
      <w:proofErr w:type="spellStart"/>
      <w:r>
        <w:rPr>
          <w:lang w:val="en-US"/>
        </w:rPr>
        <w:t>Chichester</w:t>
      </w:r>
      <w:proofErr w:type="spellEnd"/>
      <w:r>
        <w:rPr>
          <w:lang w:val="en-US"/>
        </w:rPr>
        <w:t xml:space="preserve"> and approximately 30 minutes by car to Portsmouth. </w:t>
      </w:r>
      <w:r w:rsidRPr="00E3530D">
        <w:rPr>
          <w:lang w:val="en-US"/>
        </w:rPr>
        <w:t xml:space="preserve">It lies near the mouth of </w:t>
      </w:r>
      <w:proofErr w:type="spellStart"/>
      <w:r w:rsidRPr="00E3530D">
        <w:rPr>
          <w:lang w:val="en-US"/>
        </w:rPr>
        <w:t>Chichester</w:t>
      </w:r>
      <w:proofErr w:type="spellEnd"/>
      <w:r w:rsidRPr="00E3530D">
        <w:rPr>
          <w:lang w:val="en-US"/>
        </w:rPr>
        <w:t xml:space="preserve"> </w:t>
      </w:r>
      <w:proofErr w:type="spellStart"/>
      <w:r w:rsidRPr="00E3530D">
        <w:rPr>
          <w:lang w:val="en-US"/>
        </w:rPr>
        <w:t>Harbour</w:t>
      </w:r>
      <w:proofErr w:type="spellEnd"/>
      <w:r w:rsidRPr="00E3530D">
        <w:rPr>
          <w:lang w:val="en-US"/>
        </w:rPr>
        <w:t xml:space="preserve"> </w:t>
      </w:r>
      <w:r>
        <w:rPr>
          <w:lang w:val="en-US"/>
        </w:rPr>
        <w:t xml:space="preserve">and is bordered by the famous West </w:t>
      </w:r>
      <w:proofErr w:type="spellStart"/>
      <w:r>
        <w:rPr>
          <w:lang w:val="en-US"/>
        </w:rPr>
        <w:t>Wittering</w:t>
      </w:r>
      <w:proofErr w:type="spellEnd"/>
      <w:r>
        <w:rPr>
          <w:lang w:val="en-US"/>
        </w:rPr>
        <w:t xml:space="preserve"> sandy beach to the south. The</w:t>
      </w:r>
      <w:r w:rsidRPr="00DB3249">
        <w:rPr>
          <w:lang w:val="en-US"/>
        </w:rPr>
        <w:t xml:space="preserve"> </w:t>
      </w:r>
      <w:r w:rsidRPr="00E3530D">
        <w:rPr>
          <w:lang w:val="en-US"/>
        </w:rPr>
        <w:t>B2179 road</w:t>
      </w:r>
      <w:r>
        <w:rPr>
          <w:lang w:val="en-US"/>
        </w:rPr>
        <w:t xml:space="preserve"> runs from north to south of the village and connects it to the A286 road. </w:t>
      </w:r>
      <w:r w:rsidR="00B25544">
        <w:rPr>
          <w:lang w:val="en-US"/>
        </w:rPr>
        <w:fldChar w:fldCharType="begin"/>
      </w:r>
      <w:r w:rsidR="00B25544">
        <w:rPr>
          <w:lang w:val="en-US"/>
        </w:rPr>
        <w:instrText xml:space="preserve"> REF _Ref504464963 \h </w:instrText>
      </w:r>
      <w:r w:rsidR="00B25544">
        <w:rPr>
          <w:lang w:val="en-US"/>
        </w:rPr>
      </w:r>
      <w:r w:rsidR="00B25544">
        <w:rPr>
          <w:lang w:val="en-US"/>
        </w:rPr>
        <w:fldChar w:fldCharType="separate"/>
      </w:r>
      <w:r w:rsidR="00B25544">
        <w:t xml:space="preserve">Figure </w:t>
      </w:r>
      <w:r w:rsidR="00B25544">
        <w:rPr>
          <w:noProof/>
        </w:rPr>
        <w:t>2</w:t>
      </w:r>
      <w:r w:rsidR="00B25544">
        <w:rPr>
          <w:lang w:val="en-US"/>
        </w:rPr>
        <w:fldChar w:fldCharType="end"/>
      </w:r>
      <w:r>
        <w:rPr>
          <w:lang w:val="en-US"/>
        </w:rPr>
        <w:t xml:space="preserve"> </w:t>
      </w:r>
      <w:r w:rsidRPr="00FC4BB9">
        <w:rPr>
          <w:lang w:val="en-US"/>
        </w:rPr>
        <w:t xml:space="preserve">presents the </w:t>
      </w:r>
      <w:proofErr w:type="spellStart"/>
      <w:r w:rsidRPr="00FC4BB9">
        <w:rPr>
          <w:lang w:val="en-US"/>
        </w:rPr>
        <w:t>neighbourhood</w:t>
      </w:r>
      <w:proofErr w:type="spellEnd"/>
      <w:r w:rsidRPr="00FC4BB9">
        <w:rPr>
          <w:lang w:val="en-US"/>
        </w:rPr>
        <w:t xml:space="preserve"> plan area boundaries.</w:t>
      </w:r>
    </w:p>
    <w:p w:rsidR="00FC4BB9" w:rsidRDefault="00FC4BB9" w:rsidP="00FC4BB9">
      <w:pPr>
        <w:pStyle w:val="Caption"/>
      </w:pPr>
      <w:bookmarkStart w:id="65" w:name="_Ref504464963"/>
      <w:bookmarkStart w:id="66" w:name="_Ref504464949"/>
      <w:r>
        <w:t xml:space="preserve">Figure </w:t>
      </w:r>
      <w:fldSimple w:instr=" SEQ Figure \* ARABIC ">
        <w:r w:rsidR="00A258B5">
          <w:rPr>
            <w:noProof/>
          </w:rPr>
          <w:t>2</w:t>
        </w:r>
      </w:fldSimple>
      <w:bookmarkEnd w:id="65"/>
      <w:r>
        <w:t xml:space="preserve">: </w:t>
      </w:r>
      <w:r w:rsidRPr="00F629B6">
        <w:t xml:space="preserve">West Wittering </w:t>
      </w:r>
      <w:r w:rsidR="005F5CF8">
        <w:t>Parish</w:t>
      </w:r>
      <w:r w:rsidRPr="00F629B6">
        <w:t xml:space="preserve"> Council Neighbourhood Plan Area</w:t>
      </w:r>
      <w:bookmarkEnd w:id="66"/>
    </w:p>
    <w:p w:rsidR="00FC4BB9" w:rsidRDefault="00FC4BB9" w:rsidP="00FC4BB9">
      <w:pPr>
        <w:pStyle w:val="BodyText"/>
        <w:rPr>
          <w:b/>
          <w:color w:val="FF0000"/>
          <w:lang w:val="en-US"/>
        </w:rPr>
      </w:pPr>
      <w:r>
        <w:rPr>
          <w:noProof/>
          <w:lang w:eastAsia="en-GB"/>
        </w:rPr>
        <w:drawing>
          <wp:inline distT="0" distB="0" distL="0" distR="0" wp14:anchorId="06828BA8" wp14:editId="59345E02">
            <wp:extent cx="5731510" cy="4053696"/>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053696"/>
                    </a:xfrm>
                    <a:prstGeom prst="rect">
                      <a:avLst/>
                    </a:prstGeom>
                  </pic:spPr>
                </pic:pic>
              </a:graphicData>
            </a:graphic>
          </wp:inline>
        </w:drawing>
      </w:r>
    </w:p>
    <w:p w:rsidR="00FC4BB9" w:rsidRPr="00FC4BB9" w:rsidRDefault="00FC4BB9" w:rsidP="00FC4BB9">
      <w:pPr>
        <w:pStyle w:val="Source"/>
        <w:rPr>
          <w:lang w:val="en-US"/>
        </w:rPr>
      </w:pPr>
      <w:r>
        <w:rPr>
          <w:lang w:val="en-US"/>
        </w:rPr>
        <w:t>Source: CDC</w:t>
      </w:r>
    </w:p>
    <w:p w:rsidR="00FC4BB9" w:rsidRPr="00E80CC8" w:rsidRDefault="00FC4BB9" w:rsidP="00FC4BB9">
      <w:pPr>
        <w:pStyle w:val="Heading2"/>
        <w:rPr>
          <w:lang w:val="en-US"/>
        </w:rPr>
      </w:pPr>
      <w:bookmarkStart w:id="67" w:name="_Toc495920002"/>
      <w:bookmarkStart w:id="68" w:name="_Toc504464719"/>
      <w:r>
        <w:rPr>
          <w:lang w:val="en-US"/>
        </w:rPr>
        <w:t xml:space="preserve">Local </w:t>
      </w:r>
      <w:r w:rsidR="00226811">
        <w:rPr>
          <w:lang w:val="en-US"/>
        </w:rPr>
        <w:t>p</w:t>
      </w:r>
      <w:r>
        <w:rPr>
          <w:lang w:val="en-US"/>
        </w:rPr>
        <w:t>lanning</w:t>
      </w:r>
      <w:r w:rsidRPr="00E80CC8">
        <w:rPr>
          <w:lang w:val="en-US"/>
        </w:rPr>
        <w:t xml:space="preserve"> context</w:t>
      </w:r>
      <w:bookmarkEnd w:id="67"/>
      <w:bookmarkEnd w:id="68"/>
    </w:p>
    <w:p w:rsidR="00FC4BB9" w:rsidRPr="00356B60" w:rsidRDefault="00FC4BB9" w:rsidP="00FC4BB9">
      <w:pPr>
        <w:pStyle w:val="ListNumber"/>
        <w:rPr>
          <w:lang w:val="en-US"/>
        </w:rPr>
      </w:pPr>
      <w:r w:rsidRPr="00356B60">
        <w:rPr>
          <w:lang w:val="en-US"/>
        </w:rPr>
        <w:t>In line with the basic conditions of Neighbourhood Planning, Neighbourhood Development Plans (NDPs) are required to be in general conformity with adopted strategic local policies. Consequently, there is a requirement for the relevant Local Plan to be reviewed as part of this HNA.</w:t>
      </w:r>
      <w:r>
        <w:rPr>
          <w:lang w:val="en-US"/>
        </w:rPr>
        <w:t xml:space="preserve"> The </w:t>
      </w:r>
      <w:proofErr w:type="spellStart"/>
      <w:r>
        <w:rPr>
          <w:lang w:val="en-US"/>
        </w:rPr>
        <w:t>Chichester</w:t>
      </w:r>
      <w:proofErr w:type="spellEnd"/>
      <w:r>
        <w:rPr>
          <w:lang w:val="en-US"/>
        </w:rPr>
        <w:t xml:space="preserve"> Local Plan, adopted </w:t>
      </w:r>
      <w:r w:rsidR="002427BE">
        <w:rPr>
          <w:lang w:val="en-US"/>
        </w:rPr>
        <w:t xml:space="preserve">in </w:t>
      </w:r>
      <w:r>
        <w:rPr>
          <w:lang w:val="en-US"/>
        </w:rPr>
        <w:t xml:space="preserve">July 2015, </w:t>
      </w:r>
      <w:r w:rsidR="002427BE">
        <w:rPr>
          <w:lang w:val="en-US"/>
        </w:rPr>
        <w:t xml:space="preserve">is </w:t>
      </w:r>
      <w:r w:rsidRPr="008A007D">
        <w:t>the most up</w:t>
      </w:r>
      <w:r w:rsidR="002427BE">
        <w:t>-</w:t>
      </w:r>
      <w:r w:rsidRPr="008A007D">
        <w:t>to</w:t>
      </w:r>
      <w:r w:rsidR="002427BE">
        <w:t>-</w:t>
      </w:r>
      <w:r w:rsidRPr="008A007D">
        <w:t>date local plan for the area and so has been reviewed for policies relevant to housing need.</w:t>
      </w:r>
    </w:p>
    <w:p w:rsidR="00FC4BB9" w:rsidRDefault="00FC4BB9" w:rsidP="00FC4BB9">
      <w:pPr>
        <w:pStyle w:val="Heading3"/>
        <w:rPr>
          <w:lang w:val="en-US"/>
        </w:rPr>
      </w:pPr>
      <w:bookmarkStart w:id="69" w:name="_Toc495920003"/>
      <w:proofErr w:type="spellStart"/>
      <w:r>
        <w:rPr>
          <w:lang w:val="en-US"/>
        </w:rPr>
        <w:t>Chichester</w:t>
      </w:r>
      <w:proofErr w:type="spellEnd"/>
      <w:r>
        <w:rPr>
          <w:lang w:val="en-US"/>
        </w:rPr>
        <w:t xml:space="preserve"> Local Plan (</w:t>
      </w:r>
      <w:r w:rsidR="001C30A9">
        <w:rPr>
          <w:lang w:val="en-US"/>
        </w:rPr>
        <w:t>a</w:t>
      </w:r>
      <w:r>
        <w:rPr>
          <w:lang w:val="en-US"/>
        </w:rPr>
        <w:t>dopted, July 2015)</w:t>
      </w:r>
      <w:bookmarkEnd w:id="69"/>
    </w:p>
    <w:p w:rsidR="00FC4BB9" w:rsidRPr="00E47363" w:rsidRDefault="00FC4BB9" w:rsidP="00FC4BB9">
      <w:pPr>
        <w:pStyle w:val="ListNumber"/>
        <w:rPr>
          <w:lang w:val="en-US"/>
        </w:rPr>
      </w:pPr>
      <w:r w:rsidRPr="00E47363">
        <w:rPr>
          <w:lang w:val="en-US"/>
        </w:rPr>
        <w:t>Policy 2 – Development Strategy and Settlement Hierarchy</w:t>
      </w:r>
      <w:r>
        <w:rPr>
          <w:lang w:val="en-US"/>
        </w:rPr>
        <w:t xml:space="preserve"> sets out the settlement strategy and identifies the locations where sustainable development will be accommodated. Growth will be primarily focused in </w:t>
      </w:r>
      <w:proofErr w:type="spellStart"/>
      <w:r>
        <w:rPr>
          <w:lang w:val="en-US"/>
        </w:rPr>
        <w:t>Chichester</w:t>
      </w:r>
      <w:proofErr w:type="spellEnd"/>
      <w:r>
        <w:rPr>
          <w:lang w:val="en-US"/>
        </w:rPr>
        <w:t xml:space="preserve"> City and four other settlement hubs including East </w:t>
      </w:r>
      <w:proofErr w:type="spellStart"/>
      <w:r>
        <w:rPr>
          <w:lang w:val="en-US"/>
        </w:rPr>
        <w:t>Wittering</w:t>
      </w:r>
      <w:proofErr w:type="spellEnd"/>
      <w:r>
        <w:rPr>
          <w:lang w:val="en-US"/>
        </w:rPr>
        <w:t xml:space="preserve"> which covers the eastern part of the Neighbourhood Plan Area. Services villages such as West </w:t>
      </w:r>
      <w:proofErr w:type="spellStart"/>
      <w:r>
        <w:rPr>
          <w:lang w:val="en-US"/>
        </w:rPr>
        <w:t>Wittering</w:t>
      </w:r>
      <w:proofErr w:type="spellEnd"/>
      <w:r>
        <w:rPr>
          <w:lang w:val="en-US"/>
        </w:rPr>
        <w:t xml:space="preserve"> are designated as areas of limited growth and </w:t>
      </w:r>
      <w:r w:rsidR="001C30A9">
        <w:rPr>
          <w:lang w:val="en-US"/>
        </w:rPr>
        <w:t xml:space="preserve">suitable for </w:t>
      </w:r>
      <w:r>
        <w:rPr>
          <w:lang w:val="en-US"/>
        </w:rPr>
        <w:t xml:space="preserve">small scale housing developments.    </w:t>
      </w:r>
    </w:p>
    <w:p w:rsidR="00FC4BB9" w:rsidRDefault="00FC4BB9" w:rsidP="00FC4BB9">
      <w:pPr>
        <w:pStyle w:val="ListNumber"/>
        <w:rPr>
          <w:lang w:val="en-US"/>
        </w:rPr>
      </w:pPr>
      <w:r>
        <w:rPr>
          <w:lang w:val="en-US"/>
        </w:rPr>
        <w:t xml:space="preserve">Policy 4 – </w:t>
      </w:r>
      <w:r w:rsidRPr="00E47363">
        <w:rPr>
          <w:lang w:val="en-US"/>
        </w:rPr>
        <w:t>Housing Provision</w:t>
      </w:r>
      <w:r>
        <w:rPr>
          <w:lang w:val="en-US"/>
        </w:rPr>
        <w:t xml:space="preserve"> sets the target number of homes for the entire </w:t>
      </w:r>
      <w:r w:rsidR="005F5CF8">
        <w:rPr>
          <w:lang w:val="en-US"/>
        </w:rPr>
        <w:t>District</w:t>
      </w:r>
      <w:r>
        <w:rPr>
          <w:lang w:val="en-US"/>
        </w:rPr>
        <w:t xml:space="preserve"> a</w:t>
      </w:r>
      <w:r w:rsidR="001C30A9">
        <w:rPr>
          <w:lang w:val="en-US"/>
        </w:rPr>
        <w:t>t</w:t>
      </w:r>
      <w:r>
        <w:rPr>
          <w:lang w:val="en-US"/>
        </w:rPr>
        <w:t xml:space="preserve"> 7,388, and </w:t>
      </w:r>
      <w:r w:rsidR="001C30A9">
        <w:rPr>
          <w:lang w:val="en-US"/>
        </w:rPr>
        <w:t xml:space="preserve">stipulates </w:t>
      </w:r>
      <w:r>
        <w:rPr>
          <w:lang w:val="en-US"/>
        </w:rPr>
        <w:t xml:space="preserve">that this should be distributed across three different parts of the </w:t>
      </w:r>
      <w:r w:rsidR="005F5CF8">
        <w:rPr>
          <w:lang w:val="en-US"/>
        </w:rPr>
        <w:t>District</w:t>
      </w:r>
      <w:r>
        <w:rPr>
          <w:lang w:val="en-US"/>
        </w:rPr>
        <w:t xml:space="preserve">: the East-West Corridor, the Manhood Peninsula and the North of Plan Area. The Manhood Peninsula where West </w:t>
      </w:r>
      <w:proofErr w:type="spellStart"/>
      <w:r>
        <w:rPr>
          <w:lang w:val="en-US"/>
        </w:rPr>
        <w:t>Wittering</w:t>
      </w:r>
      <w:proofErr w:type="spellEnd"/>
      <w:r>
        <w:rPr>
          <w:lang w:val="en-US"/>
        </w:rPr>
        <w:t xml:space="preserve"> is located should accommodate 893 homes over the Plan period (2012-2029). </w:t>
      </w:r>
      <w:r w:rsidR="006E3705">
        <w:rPr>
          <w:lang w:val="en-US"/>
        </w:rPr>
        <w:t>The policy goes on to</w:t>
      </w:r>
      <w:r>
        <w:rPr>
          <w:lang w:val="en-US"/>
        </w:rPr>
        <w:t xml:space="preserve"> state that Policy 5 should apply</w:t>
      </w:r>
      <w:r w:rsidR="006E3705">
        <w:rPr>
          <w:lang w:val="en-US"/>
        </w:rPr>
        <w:t xml:space="preserve"> to Parish housing sites</w:t>
      </w:r>
      <w:r>
        <w:rPr>
          <w:lang w:val="en-US"/>
        </w:rPr>
        <w:t>.</w:t>
      </w:r>
    </w:p>
    <w:p w:rsidR="00FC4BB9" w:rsidRPr="0012760B" w:rsidRDefault="00FC4BB9" w:rsidP="00FC4BB9">
      <w:pPr>
        <w:pStyle w:val="ListNumber"/>
        <w:rPr>
          <w:lang w:val="en-US"/>
        </w:rPr>
      </w:pPr>
      <w:r>
        <w:rPr>
          <w:lang w:val="en-US"/>
        </w:rPr>
        <w:t xml:space="preserve">Policy 5 – </w:t>
      </w:r>
      <w:r w:rsidR="005F5CF8">
        <w:rPr>
          <w:lang w:val="en-US"/>
        </w:rPr>
        <w:t>Parish</w:t>
      </w:r>
      <w:r>
        <w:rPr>
          <w:lang w:val="en-US"/>
        </w:rPr>
        <w:t xml:space="preserve"> Housing Sites 2012-2029 identifies </w:t>
      </w:r>
      <w:r w:rsidRPr="00B26F1C">
        <w:rPr>
          <w:lang w:val="en-US"/>
        </w:rPr>
        <w:t>the specific needs of local</w:t>
      </w:r>
      <w:r>
        <w:rPr>
          <w:lang w:val="en-US"/>
        </w:rPr>
        <w:t xml:space="preserve"> </w:t>
      </w:r>
      <w:r w:rsidRPr="00B26F1C">
        <w:rPr>
          <w:lang w:val="en-US"/>
        </w:rPr>
        <w:t>communities</w:t>
      </w:r>
      <w:r>
        <w:rPr>
          <w:lang w:val="en-US"/>
        </w:rPr>
        <w:t xml:space="preserve">. It states that 860 homes are to be planned in </w:t>
      </w:r>
      <w:r w:rsidR="005F5CF8">
        <w:rPr>
          <w:lang w:val="en-US"/>
        </w:rPr>
        <w:t>Parish</w:t>
      </w:r>
      <w:r>
        <w:rPr>
          <w:lang w:val="en-US"/>
        </w:rPr>
        <w:t xml:space="preserve"> housing sites including 50 in West </w:t>
      </w:r>
      <w:proofErr w:type="spellStart"/>
      <w:r>
        <w:rPr>
          <w:lang w:val="en-US"/>
        </w:rPr>
        <w:t>Wittering</w:t>
      </w:r>
      <w:proofErr w:type="spellEnd"/>
      <w:r>
        <w:rPr>
          <w:lang w:val="en-US"/>
        </w:rPr>
        <w:t>. S</w:t>
      </w:r>
      <w:r w:rsidRPr="00B26F1C">
        <w:rPr>
          <w:lang w:val="en-US"/>
        </w:rPr>
        <w:t xml:space="preserve">mall scale housing sites will be </w:t>
      </w:r>
      <w:r w:rsidRPr="00B26F1C">
        <w:rPr>
          <w:lang w:val="en-US"/>
        </w:rPr>
        <w:lastRenderedPageBreak/>
        <w:t>identified to address</w:t>
      </w:r>
      <w:r>
        <w:rPr>
          <w:lang w:val="en-US"/>
        </w:rPr>
        <w:t xml:space="preserve"> these needs </w:t>
      </w:r>
      <w:r w:rsidRPr="009840AC">
        <w:rPr>
          <w:lang w:val="en-US"/>
        </w:rPr>
        <w:t>in neighbourhood plans</w:t>
      </w:r>
      <w:r>
        <w:rPr>
          <w:lang w:val="en-US"/>
        </w:rPr>
        <w:t xml:space="preserve"> </w:t>
      </w:r>
      <w:r w:rsidRPr="0012760B">
        <w:rPr>
          <w:lang w:val="en-US"/>
        </w:rPr>
        <w:t>or in a Site Allocation</w:t>
      </w:r>
      <w:r w:rsidR="0054689D">
        <w:rPr>
          <w:lang w:val="en-US"/>
        </w:rPr>
        <w:t>s</w:t>
      </w:r>
      <w:r w:rsidRPr="0012760B">
        <w:rPr>
          <w:lang w:val="en-US"/>
        </w:rPr>
        <w:t xml:space="preserve"> DPD which</w:t>
      </w:r>
      <w:r>
        <w:rPr>
          <w:lang w:val="en-US"/>
        </w:rPr>
        <w:t xml:space="preserve"> </w:t>
      </w:r>
      <w:r w:rsidRPr="0012760B">
        <w:rPr>
          <w:lang w:val="en-US"/>
        </w:rPr>
        <w:t>the Council will prepare following adoption of the Local Plan.</w:t>
      </w:r>
    </w:p>
    <w:p w:rsidR="00FC4BB9" w:rsidRPr="00E45E87" w:rsidRDefault="00FC4BB9" w:rsidP="00FC4BB9">
      <w:pPr>
        <w:pStyle w:val="ListNumber"/>
        <w:rPr>
          <w:lang w:val="en-US"/>
        </w:rPr>
      </w:pPr>
      <w:r>
        <w:rPr>
          <w:lang w:val="en-US"/>
        </w:rPr>
        <w:t xml:space="preserve">Policy 34 – Affordable </w:t>
      </w:r>
      <w:r w:rsidR="003269DA">
        <w:rPr>
          <w:lang w:val="en-US"/>
        </w:rPr>
        <w:t>H</w:t>
      </w:r>
      <w:r>
        <w:rPr>
          <w:lang w:val="en-US"/>
        </w:rPr>
        <w:t xml:space="preserve">ousing </w:t>
      </w:r>
      <w:r w:rsidRPr="00E45E87">
        <w:rPr>
          <w:lang w:val="en-US"/>
        </w:rPr>
        <w:t xml:space="preserve">sets out the </w:t>
      </w:r>
      <w:r w:rsidR="005F5CF8">
        <w:rPr>
          <w:lang w:val="en-US"/>
        </w:rPr>
        <w:t>District</w:t>
      </w:r>
      <w:r w:rsidRPr="00E45E87">
        <w:rPr>
          <w:lang w:val="en-US"/>
        </w:rPr>
        <w:t>’s requirements for the provision of 30% affordable housing on sites of 11 dwellings or more. Commuted sums will only be accepted in exceptional circumstances. On sites of 6 to 10 dwellings in areas designated as rural areas, the Council will seek a financial contribution for the provision of affordable dwellings as a commuted sum unless the developer makes onsite provision.</w:t>
      </w:r>
    </w:p>
    <w:p w:rsidR="00FC4BB9" w:rsidRPr="00E45E87" w:rsidRDefault="00FC4BB9" w:rsidP="00FC4BB9">
      <w:pPr>
        <w:pStyle w:val="ListNumber"/>
        <w:rPr>
          <w:lang w:val="en-US"/>
        </w:rPr>
      </w:pPr>
      <w:r>
        <w:rPr>
          <w:lang w:val="en-US"/>
        </w:rPr>
        <w:t xml:space="preserve">Policy 35 – Affordable </w:t>
      </w:r>
      <w:r w:rsidR="003269DA">
        <w:rPr>
          <w:lang w:val="en-US"/>
        </w:rPr>
        <w:t xml:space="preserve">Housing </w:t>
      </w:r>
      <w:r>
        <w:rPr>
          <w:lang w:val="en-US"/>
        </w:rPr>
        <w:t xml:space="preserve">Exception Sites sets out the criteria that have to be met for affordable housing to be permitted on </w:t>
      </w:r>
      <w:r w:rsidRPr="00E45E87">
        <w:rPr>
          <w:lang w:val="en-US"/>
        </w:rPr>
        <w:t xml:space="preserve">exception sites outside of </w:t>
      </w:r>
      <w:r w:rsidR="00CA29EE">
        <w:rPr>
          <w:lang w:val="en-US"/>
        </w:rPr>
        <w:t>s</w:t>
      </w:r>
      <w:r w:rsidRPr="00E45E87">
        <w:rPr>
          <w:lang w:val="en-US"/>
        </w:rPr>
        <w:t xml:space="preserve">ettlement </w:t>
      </w:r>
      <w:r w:rsidR="00CA29EE">
        <w:rPr>
          <w:lang w:val="en-US"/>
        </w:rPr>
        <w:t>b</w:t>
      </w:r>
      <w:r w:rsidRPr="00E45E87">
        <w:rPr>
          <w:lang w:val="en-US"/>
        </w:rPr>
        <w:t>oundaries to meet a specific</w:t>
      </w:r>
      <w:r>
        <w:rPr>
          <w:lang w:val="en-US"/>
        </w:rPr>
        <w:t xml:space="preserve"> </w:t>
      </w:r>
      <w:r w:rsidRPr="00E45E87">
        <w:rPr>
          <w:lang w:val="en-US"/>
        </w:rPr>
        <w:t>local need where there are no available and deliverable sites within a settlement.</w:t>
      </w:r>
    </w:p>
    <w:p w:rsidR="00FC4BB9" w:rsidRDefault="00FC4BB9" w:rsidP="00FC4BB9">
      <w:pPr>
        <w:pStyle w:val="ListNumber"/>
        <w:rPr>
          <w:lang w:val="en-US"/>
        </w:rPr>
      </w:pPr>
      <w:r w:rsidRPr="00E45E87">
        <w:rPr>
          <w:lang w:val="en-US"/>
        </w:rPr>
        <w:t>Policy 36</w:t>
      </w:r>
      <w:r>
        <w:rPr>
          <w:lang w:val="en-US"/>
        </w:rPr>
        <w:t xml:space="preserve"> – </w:t>
      </w:r>
      <w:r w:rsidRPr="00E45E87">
        <w:rPr>
          <w:lang w:val="en-US"/>
        </w:rPr>
        <w:t xml:space="preserve">Planning for </w:t>
      </w:r>
      <w:proofErr w:type="spellStart"/>
      <w:r w:rsidRPr="00E45E87">
        <w:rPr>
          <w:lang w:val="en-US"/>
        </w:rPr>
        <w:t>Gypsies</w:t>
      </w:r>
      <w:proofErr w:type="gramStart"/>
      <w:r w:rsidRPr="00E45E87">
        <w:rPr>
          <w:lang w:val="en-US"/>
        </w:rPr>
        <w:t>,Travellers</w:t>
      </w:r>
      <w:proofErr w:type="spellEnd"/>
      <w:proofErr w:type="gramEnd"/>
      <w:r w:rsidRPr="00E45E87">
        <w:rPr>
          <w:lang w:val="en-US"/>
        </w:rPr>
        <w:t xml:space="preserve"> and Travelling Show</w:t>
      </w:r>
      <w:r w:rsidR="003269DA">
        <w:rPr>
          <w:lang w:val="en-US"/>
        </w:rPr>
        <w:t xml:space="preserve"> </w:t>
      </w:r>
      <w:r w:rsidRPr="00E45E87">
        <w:rPr>
          <w:lang w:val="en-US"/>
        </w:rPr>
        <w:t xml:space="preserve">people </w:t>
      </w:r>
      <w:r>
        <w:rPr>
          <w:lang w:val="en-US"/>
        </w:rPr>
        <w:t xml:space="preserve">identifies a potential need for additional permanent residential pitches and plots for the period 2012 to 2027 and sets out the list of criteria that </w:t>
      </w:r>
      <w:r w:rsidR="00F00A7C">
        <w:rPr>
          <w:lang w:val="en-US"/>
        </w:rPr>
        <w:t>must</w:t>
      </w:r>
      <w:r>
        <w:rPr>
          <w:lang w:val="en-US"/>
        </w:rPr>
        <w:t xml:space="preserve"> be met in </w:t>
      </w:r>
      <w:r w:rsidR="00F00A7C">
        <w:rPr>
          <w:lang w:val="en-US"/>
        </w:rPr>
        <w:t>identifying suitable</w:t>
      </w:r>
      <w:r>
        <w:rPr>
          <w:lang w:val="en-US"/>
        </w:rPr>
        <w:t xml:space="preserve"> sites.</w:t>
      </w:r>
    </w:p>
    <w:p w:rsidR="00B90B1C" w:rsidRPr="003A2EED" w:rsidRDefault="00E80CC8" w:rsidP="00B90B1C">
      <w:pPr>
        <w:pStyle w:val="Heading1"/>
        <w:rPr>
          <w:lang w:val="en-US"/>
        </w:rPr>
      </w:pPr>
      <w:bookmarkStart w:id="70" w:name="_Toc504464720"/>
      <w:r w:rsidRPr="00E80CC8">
        <w:rPr>
          <w:lang w:val="en-US"/>
        </w:rPr>
        <w:t>Approach</w:t>
      </w:r>
      <w:bookmarkEnd w:id="63"/>
      <w:bookmarkEnd w:id="64"/>
      <w:bookmarkEnd w:id="70"/>
    </w:p>
    <w:p w:rsidR="00E80CC8" w:rsidRPr="00E80CC8" w:rsidRDefault="00E80CC8" w:rsidP="00B90B1C">
      <w:pPr>
        <w:pStyle w:val="Heading2"/>
        <w:rPr>
          <w:lang w:val="en-US"/>
        </w:rPr>
      </w:pPr>
      <w:bookmarkStart w:id="71" w:name="_Toc504464721"/>
      <w:r w:rsidRPr="00E80CC8">
        <w:rPr>
          <w:lang w:val="en-US"/>
        </w:rPr>
        <w:t xml:space="preserve">Research </w:t>
      </w:r>
      <w:r w:rsidR="00630DFC">
        <w:rPr>
          <w:lang w:val="en-US"/>
        </w:rPr>
        <w:t>q</w:t>
      </w:r>
      <w:r w:rsidRPr="00E80CC8">
        <w:rPr>
          <w:lang w:val="en-US"/>
        </w:rPr>
        <w:t>uestions</w:t>
      </w:r>
      <w:bookmarkEnd w:id="71"/>
    </w:p>
    <w:p w:rsidR="00E80CC8" w:rsidRPr="00E80CC8" w:rsidRDefault="00E80CC8" w:rsidP="00B90B1C">
      <w:pPr>
        <w:pStyle w:val="ListNumber"/>
        <w:rPr>
          <w:lang w:val="en-US"/>
        </w:rPr>
      </w:pPr>
      <w:r w:rsidRPr="00E80CC8">
        <w:rPr>
          <w:lang w:val="en-US"/>
        </w:rPr>
        <w:t>Housing Needs Assessment at neighbourhood plan level can be focused either on quantity of housing needed, type of housing need, or both. In most cases, there is a need to focus on quantity where the housing target for the settlement being assessed is unclear, for example where the local authority has not set a specific target for the settlement, or where there is no local plan in place.</w:t>
      </w:r>
    </w:p>
    <w:p w:rsidR="00D416D0" w:rsidRPr="00C26717" w:rsidRDefault="00D416D0" w:rsidP="00C26717">
      <w:pPr>
        <w:pStyle w:val="Heading3"/>
        <w:rPr>
          <w:rFonts w:eastAsia="Times New Roman"/>
        </w:rPr>
      </w:pPr>
      <w:bookmarkStart w:id="72" w:name="_Toc489984288"/>
      <w:r w:rsidRPr="00C26717">
        <w:rPr>
          <w:rFonts w:eastAsia="Times New Roman"/>
        </w:rPr>
        <w:t>Quantity</w:t>
      </w:r>
      <w:bookmarkEnd w:id="72"/>
    </w:p>
    <w:p w:rsidR="00D416D0" w:rsidRDefault="00D416D0" w:rsidP="00C26717">
      <w:pPr>
        <w:pStyle w:val="ListNumber"/>
        <w:rPr>
          <w:color w:val="000000" w:themeColor="text1"/>
        </w:rPr>
      </w:pPr>
      <w:r w:rsidRPr="00C83371">
        <w:rPr>
          <w:color w:val="000000" w:themeColor="text1"/>
        </w:rPr>
        <w:t xml:space="preserve">The Local Authority, Chichester </w:t>
      </w:r>
      <w:r w:rsidR="005F5CF8">
        <w:rPr>
          <w:color w:val="000000" w:themeColor="text1"/>
        </w:rPr>
        <w:t>District</w:t>
      </w:r>
      <w:r w:rsidRPr="00C83371">
        <w:rPr>
          <w:color w:val="000000" w:themeColor="text1"/>
        </w:rPr>
        <w:t xml:space="preserve"> Council (CDC), is in the process of developing a new Local Plan. They have committed to provid</w:t>
      </w:r>
      <w:r w:rsidR="00207657">
        <w:rPr>
          <w:color w:val="000000" w:themeColor="text1"/>
        </w:rPr>
        <w:t>ing</w:t>
      </w:r>
      <w:r w:rsidRPr="00C83371">
        <w:rPr>
          <w:color w:val="000000" w:themeColor="text1"/>
        </w:rPr>
        <w:t xml:space="preserve"> West Wittering </w:t>
      </w:r>
      <w:r w:rsidR="005F5CF8">
        <w:rPr>
          <w:color w:val="000000" w:themeColor="text1"/>
        </w:rPr>
        <w:t>Parish</w:t>
      </w:r>
      <w:r w:rsidRPr="00C83371">
        <w:rPr>
          <w:color w:val="000000" w:themeColor="text1"/>
        </w:rPr>
        <w:t xml:space="preserve"> Council with a housing number, updating the allocation of 50 dwellings </w:t>
      </w:r>
      <w:r>
        <w:rPr>
          <w:color w:val="000000" w:themeColor="text1"/>
        </w:rPr>
        <w:t xml:space="preserve">to the settlement area </w:t>
      </w:r>
      <w:r w:rsidRPr="00C83371">
        <w:rPr>
          <w:color w:val="000000" w:themeColor="text1"/>
        </w:rPr>
        <w:t xml:space="preserve">that appears in the current adopted Local Plan. </w:t>
      </w:r>
    </w:p>
    <w:p w:rsidR="00D416D0" w:rsidRPr="00C83371" w:rsidRDefault="00D416D0" w:rsidP="00C26717">
      <w:pPr>
        <w:pStyle w:val="ListNumber"/>
        <w:rPr>
          <w:color w:val="000000" w:themeColor="text1"/>
        </w:rPr>
      </w:pPr>
      <w:r>
        <w:rPr>
          <w:color w:val="000000" w:themeColor="text1"/>
        </w:rPr>
        <w:t xml:space="preserve">Despite commitment from CDC to provide </w:t>
      </w:r>
      <w:r w:rsidRPr="00C83371">
        <w:rPr>
          <w:color w:val="000000" w:themeColor="text1"/>
        </w:rPr>
        <w:t xml:space="preserve">the group </w:t>
      </w:r>
      <w:r>
        <w:rPr>
          <w:color w:val="000000" w:themeColor="text1"/>
        </w:rPr>
        <w:t xml:space="preserve">with this number, WWPC </w:t>
      </w:r>
      <w:r w:rsidRPr="00C83371">
        <w:rPr>
          <w:color w:val="000000" w:themeColor="text1"/>
        </w:rPr>
        <w:t xml:space="preserve">wishes to generate their own assessment to ensure </w:t>
      </w:r>
      <w:r w:rsidR="00207657">
        <w:rPr>
          <w:color w:val="000000" w:themeColor="text1"/>
        </w:rPr>
        <w:t xml:space="preserve">that </w:t>
      </w:r>
      <w:r>
        <w:rPr>
          <w:color w:val="000000" w:themeColor="text1"/>
        </w:rPr>
        <w:t xml:space="preserve">the final </w:t>
      </w:r>
      <w:r w:rsidR="00207657">
        <w:rPr>
          <w:color w:val="000000" w:themeColor="text1"/>
        </w:rPr>
        <w:t xml:space="preserve">dwelling </w:t>
      </w:r>
      <w:r>
        <w:rPr>
          <w:color w:val="000000" w:themeColor="text1"/>
        </w:rPr>
        <w:t>number used to support policies in their plan</w:t>
      </w:r>
      <w:r w:rsidRPr="00C83371">
        <w:rPr>
          <w:color w:val="000000" w:themeColor="text1"/>
        </w:rPr>
        <w:t xml:space="preserve"> provides adequately for the future needs of the community, particularly in relation to the provision of dwellings suited to the needs of young people </w:t>
      </w:r>
      <w:r>
        <w:rPr>
          <w:color w:val="000000" w:themeColor="text1"/>
        </w:rPr>
        <w:t>and families fro</w:t>
      </w:r>
      <w:r w:rsidRPr="00C83371">
        <w:rPr>
          <w:color w:val="000000" w:themeColor="text1"/>
        </w:rPr>
        <w:t xml:space="preserve">m the area </w:t>
      </w:r>
      <w:r w:rsidR="00207657">
        <w:rPr>
          <w:color w:val="000000" w:themeColor="text1"/>
        </w:rPr>
        <w:t>who</w:t>
      </w:r>
      <w:r>
        <w:rPr>
          <w:color w:val="000000" w:themeColor="text1"/>
        </w:rPr>
        <w:t xml:space="preserve"> wish to continue to live there. </w:t>
      </w:r>
      <w:r w:rsidRPr="00C83371">
        <w:rPr>
          <w:color w:val="000000" w:themeColor="text1"/>
        </w:rPr>
        <w:t xml:space="preserve"> </w:t>
      </w:r>
    </w:p>
    <w:p w:rsidR="00D416D0" w:rsidRPr="00D416D0" w:rsidRDefault="00D416D0" w:rsidP="00D416D0">
      <w:pPr>
        <w:pStyle w:val="ListNumber"/>
        <w:numPr>
          <w:ilvl w:val="0"/>
          <w:numId w:val="0"/>
        </w:numPr>
        <w:ind w:left="425" w:hanging="425"/>
        <w:rPr>
          <w:i/>
        </w:rPr>
      </w:pPr>
      <w:r w:rsidRPr="00D416D0">
        <w:rPr>
          <w:i/>
        </w:rPr>
        <w:t>RQ1. What quantity of housing is appropriate for the NPA?</w:t>
      </w:r>
    </w:p>
    <w:p w:rsidR="00E80CC8" w:rsidRPr="00E80CC8" w:rsidRDefault="00E80CC8" w:rsidP="00B90B1C">
      <w:pPr>
        <w:pStyle w:val="ListNumber"/>
        <w:rPr>
          <w:bCs/>
          <w:iCs/>
          <w:sz w:val="22"/>
          <w:szCs w:val="22"/>
          <w:lang w:val="en-US"/>
        </w:rPr>
      </w:pPr>
      <w:r w:rsidRPr="00B90B1C">
        <w:rPr>
          <w:lang w:val="en-US"/>
        </w:rPr>
        <w:t xml:space="preserve">It is therefore necessary to arrive at an estimate for the required housing growth </w:t>
      </w:r>
      <w:r w:rsidR="00207657">
        <w:rPr>
          <w:lang w:val="en-US"/>
        </w:rPr>
        <w:t>based</w:t>
      </w:r>
      <w:r w:rsidR="00207657" w:rsidRPr="00B90B1C">
        <w:rPr>
          <w:lang w:val="en-US"/>
        </w:rPr>
        <w:t xml:space="preserve"> </w:t>
      </w:r>
      <w:r w:rsidRPr="00B90B1C">
        <w:rPr>
          <w:lang w:val="en-US"/>
        </w:rPr>
        <w:t>on a number of reliable sources</w:t>
      </w:r>
      <w:r w:rsidR="00207657">
        <w:rPr>
          <w:bCs/>
          <w:iCs/>
          <w:szCs w:val="22"/>
          <w:lang w:val="en-US"/>
        </w:rPr>
        <w:t>:</w:t>
      </w:r>
      <w:r w:rsidRPr="00CE19EC">
        <w:rPr>
          <w:bCs/>
          <w:iCs/>
          <w:szCs w:val="22"/>
          <w:lang w:val="en-US"/>
        </w:rPr>
        <w:t xml:space="preserve"> </w:t>
      </w:r>
    </w:p>
    <w:p w:rsidR="00E80CC8" w:rsidRPr="00B90B1C" w:rsidRDefault="00207657" w:rsidP="008D11A6">
      <w:pPr>
        <w:pStyle w:val="ListBullet"/>
        <w:rPr>
          <w:lang w:val="en-US"/>
        </w:rPr>
      </w:pPr>
      <w:r>
        <w:rPr>
          <w:lang w:val="en-US"/>
        </w:rPr>
        <w:t>a</w:t>
      </w:r>
      <w:r w:rsidR="00E80CC8" w:rsidRPr="00B90B1C">
        <w:rPr>
          <w:lang w:val="en-US"/>
        </w:rPr>
        <w:t xml:space="preserve"> number derived from the </w:t>
      </w:r>
      <w:r w:rsidR="00E858D8">
        <w:rPr>
          <w:lang w:val="en-US"/>
        </w:rPr>
        <w:t>Local Plan</w:t>
      </w:r>
      <w:r>
        <w:rPr>
          <w:lang w:val="en-US"/>
        </w:rPr>
        <w:t>;</w:t>
      </w:r>
    </w:p>
    <w:p w:rsidR="00E80CC8" w:rsidRPr="00B90B1C" w:rsidRDefault="00E80CC8" w:rsidP="008D11A6">
      <w:pPr>
        <w:pStyle w:val="ListBullet"/>
        <w:rPr>
          <w:lang w:val="en-US"/>
        </w:rPr>
      </w:pPr>
      <w:r w:rsidRPr="00B90B1C">
        <w:rPr>
          <w:lang w:val="en-US"/>
        </w:rPr>
        <w:t>SHMA</w:t>
      </w:r>
      <w:r w:rsidR="006713D2">
        <w:rPr>
          <w:lang w:val="en-US"/>
        </w:rPr>
        <w:t xml:space="preserve"> studies</w:t>
      </w:r>
      <w:r w:rsidRPr="00B90B1C">
        <w:rPr>
          <w:lang w:val="en-US"/>
        </w:rPr>
        <w:t xml:space="preserve"> - proportional share drawn from OAN; </w:t>
      </w:r>
    </w:p>
    <w:p w:rsidR="00E80CC8" w:rsidRPr="00B90B1C" w:rsidRDefault="00B25544" w:rsidP="008D11A6">
      <w:pPr>
        <w:pStyle w:val="ListBullet"/>
        <w:rPr>
          <w:lang w:val="en-US"/>
        </w:rPr>
      </w:pPr>
      <w:r>
        <w:rPr>
          <w:lang w:val="en-US"/>
        </w:rPr>
        <w:t>MHCLG</w:t>
      </w:r>
      <w:r w:rsidR="00E80CC8" w:rsidRPr="00B90B1C">
        <w:rPr>
          <w:lang w:val="en-US"/>
        </w:rPr>
        <w:t xml:space="preserve"> Household projections</w:t>
      </w:r>
      <w:r w:rsidR="00207657">
        <w:rPr>
          <w:lang w:val="en-US"/>
        </w:rPr>
        <w:t>; and</w:t>
      </w:r>
    </w:p>
    <w:p w:rsidR="00E80CC8" w:rsidRPr="00B90B1C" w:rsidRDefault="00E80CC8" w:rsidP="008D11A6">
      <w:pPr>
        <w:pStyle w:val="ListBullet"/>
        <w:rPr>
          <w:lang w:val="en-US"/>
        </w:rPr>
      </w:pPr>
      <w:r w:rsidRPr="00B90B1C">
        <w:rPr>
          <w:lang w:val="en-US"/>
        </w:rPr>
        <w:t>Net dwelling completion rates 2001-201</w:t>
      </w:r>
      <w:r w:rsidR="00E858D8">
        <w:rPr>
          <w:lang w:val="en-US"/>
        </w:rPr>
        <w:t>6</w:t>
      </w:r>
      <w:r w:rsidR="00207657">
        <w:rPr>
          <w:lang w:val="en-US"/>
        </w:rPr>
        <w:t>.</w:t>
      </w:r>
    </w:p>
    <w:p w:rsidR="00E80CC8" w:rsidRDefault="00E80CC8" w:rsidP="00B90B1C">
      <w:pPr>
        <w:pStyle w:val="ListNumber"/>
        <w:rPr>
          <w:bCs/>
          <w:iCs/>
          <w:szCs w:val="22"/>
          <w:lang w:val="en-US"/>
        </w:rPr>
      </w:pPr>
      <w:r w:rsidRPr="00B90B1C">
        <w:rPr>
          <w:bCs/>
          <w:iCs/>
          <w:szCs w:val="22"/>
          <w:lang w:val="en-US"/>
        </w:rPr>
        <w:t>In addition to the question of quantity, is it important to break this down to enable policy to be developed that reflects community need. This question relates to the tenure, type</w:t>
      </w:r>
      <w:r w:rsidR="005D098B">
        <w:rPr>
          <w:bCs/>
          <w:iCs/>
          <w:szCs w:val="22"/>
          <w:lang w:val="en-US"/>
        </w:rPr>
        <w:t xml:space="preserve"> and</w:t>
      </w:r>
      <w:r w:rsidRPr="00B90B1C">
        <w:rPr>
          <w:bCs/>
          <w:iCs/>
          <w:szCs w:val="22"/>
          <w:lang w:val="en-US"/>
        </w:rPr>
        <w:t xml:space="preserve"> size of dwellings together with the requirement for ‘specialist’ housing suited to the needs of niche groups. </w:t>
      </w:r>
    </w:p>
    <w:p w:rsidR="00D416D0" w:rsidRPr="00C26717" w:rsidRDefault="00D416D0" w:rsidP="00C26717">
      <w:pPr>
        <w:pStyle w:val="Heading2"/>
        <w:rPr>
          <w:rFonts w:eastAsia="Times New Roman" w:cs="Times New Roman"/>
        </w:rPr>
      </w:pPr>
      <w:bookmarkStart w:id="73" w:name="_Toc504464722"/>
      <w:r w:rsidRPr="00C26717">
        <w:rPr>
          <w:rFonts w:eastAsia="Times New Roman"/>
        </w:rPr>
        <w:t>Tenure</w:t>
      </w:r>
      <w:bookmarkEnd w:id="73"/>
    </w:p>
    <w:p w:rsidR="00D416D0" w:rsidRDefault="00D416D0" w:rsidP="00C26717">
      <w:pPr>
        <w:pStyle w:val="ListNumber"/>
      </w:pPr>
      <w:r>
        <w:t>WWPC</w:t>
      </w:r>
      <w:r w:rsidRPr="00F02311">
        <w:rPr>
          <w:color w:val="FF0000"/>
        </w:rPr>
        <w:t xml:space="preserve"> </w:t>
      </w:r>
      <w:r w:rsidRPr="0087289E">
        <w:t>has expressed an interest in seeing mor</w:t>
      </w:r>
      <w:r>
        <w:t>e affordable housing in the NPA so as to support the viability of the settlement, particularly in respect of enabling young people living on modest incomes to find suitable housing in the NPA.</w:t>
      </w:r>
      <w:r w:rsidRPr="0087289E">
        <w:t xml:space="preserve"> </w:t>
      </w:r>
      <w:r>
        <w:t xml:space="preserve">There is an associated concern that market housing is predominantly targeted at the needs of people seeking second homes; this has led, for example, to the loss of council housing through right to buy, which has </w:t>
      </w:r>
      <w:r w:rsidR="00402B82">
        <w:t xml:space="preserve">subsequently </w:t>
      </w:r>
      <w:r>
        <w:t xml:space="preserve">been sold on as second homes. </w:t>
      </w:r>
    </w:p>
    <w:p w:rsidR="00D416D0" w:rsidRPr="0087289E" w:rsidRDefault="00D416D0" w:rsidP="00C26717">
      <w:pPr>
        <w:pStyle w:val="ListNumber"/>
      </w:pPr>
      <w:r w:rsidRPr="0087289E">
        <w:t xml:space="preserve">This study will therefore explore tenure mix with a particular focus on affordable housing including the role of </w:t>
      </w:r>
      <w:r>
        <w:t xml:space="preserve">shared ownership and discounted market housing suited to the needs of those doing vital but </w:t>
      </w:r>
      <w:r w:rsidR="00402B82">
        <w:t>relatively low</w:t>
      </w:r>
      <w:r>
        <w:t xml:space="preserve"> paid work, for example caring for the elderly. </w:t>
      </w:r>
    </w:p>
    <w:p w:rsidR="00D416D0" w:rsidRPr="00D416D0" w:rsidRDefault="00D416D0" w:rsidP="00D416D0">
      <w:pPr>
        <w:tabs>
          <w:tab w:val="clear" w:pos="284"/>
        </w:tabs>
        <w:spacing w:after="240" w:line="230" w:lineRule="exact"/>
        <w:outlineLvl w:val="4"/>
        <w:rPr>
          <w:rFonts w:ascii="Arial" w:eastAsia="Times New Roman" w:hAnsi="Arial" w:cs="Times New Roman"/>
          <w:bCs/>
          <w:i/>
          <w:iCs/>
          <w:szCs w:val="26"/>
        </w:rPr>
      </w:pPr>
      <w:r>
        <w:rPr>
          <w:rFonts w:ascii="Arial" w:eastAsia="Times New Roman" w:hAnsi="Arial" w:cs="Times New Roman"/>
          <w:bCs/>
          <w:i/>
          <w:iCs/>
          <w:szCs w:val="26"/>
        </w:rPr>
        <w:lastRenderedPageBreak/>
        <w:t xml:space="preserve">RQ2. </w:t>
      </w:r>
      <w:r w:rsidRPr="00D416D0">
        <w:rPr>
          <w:rFonts w:ascii="Arial" w:eastAsia="Times New Roman" w:hAnsi="Arial" w:cs="Times New Roman"/>
          <w:bCs/>
          <w:i/>
          <w:iCs/>
          <w:szCs w:val="26"/>
        </w:rPr>
        <w:t>What affordable housing (social housing, affordable rented, shared ownership, intermediate rented) and market tenures should be included in the housing mix?</w:t>
      </w:r>
    </w:p>
    <w:p w:rsidR="00D416D0" w:rsidRPr="0087289E" w:rsidRDefault="00D416D0" w:rsidP="00C26717">
      <w:pPr>
        <w:pStyle w:val="Heading2"/>
        <w:rPr>
          <w:rFonts w:eastAsia="Times New Roman"/>
        </w:rPr>
      </w:pPr>
      <w:bookmarkStart w:id="74" w:name="_Toc489984290"/>
      <w:bookmarkStart w:id="75" w:name="_Toc504464723"/>
      <w:r w:rsidRPr="0087289E">
        <w:rPr>
          <w:rFonts w:eastAsia="Times New Roman"/>
        </w:rPr>
        <w:t>Type and size</w:t>
      </w:r>
      <w:bookmarkEnd w:id="74"/>
      <w:bookmarkEnd w:id="75"/>
    </w:p>
    <w:p w:rsidR="00D416D0" w:rsidRPr="0087289E" w:rsidRDefault="00D416D0" w:rsidP="00C26717">
      <w:pPr>
        <w:pStyle w:val="ListNumber"/>
      </w:pPr>
      <w:r>
        <w:t xml:space="preserve">WWPC aspires to provide housing </w:t>
      </w:r>
      <w:r w:rsidR="00402B82">
        <w:t xml:space="preserve">suitable </w:t>
      </w:r>
      <w:r>
        <w:t xml:space="preserve">throughout </w:t>
      </w:r>
      <w:r w:rsidR="00402B82">
        <w:t>life</w:t>
      </w:r>
      <w:r>
        <w:t xml:space="preserve">, </w:t>
      </w:r>
      <w:r w:rsidR="00402B82">
        <w:t xml:space="preserve">so </w:t>
      </w:r>
      <w:r>
        <w:t xml:space="preserve">allowing </w:t>
      </w:r>
      <w:r w:rsidR="00402B82">
        <w:t xml:space="preserve">residents </w:t>
      </w:r>
      <w:r>
        <w:t xml:space="preserve">to stay in the village at every stage of their lives if they wish. There is an interest therefore to understand how this may be achieved through the delivery of dwellings of different types and sizes.   </w:t>
      </w:r>
    </w:p>
    <w:p w:rsidR="00D416D0" w:rsidRPr="00D416D0" w:rsidRDefault="00D416D0" w:rsidP="00D416D0">
      <w:pPr>
        <w:tabs>
          <w:tab w:val="clear" w:pos="284"/>
        </w:tabs>
        <w:spacing w:after="240" w:line="230" w:lineRule="exact"/>
        <w:outlineLvl w:val="4"/>
        <w:rPr>
          <w:rFonts w:ascii="Arial" w:eastAsia="Times New Roman" w:hAnsi="Arial" w:cs="Times New Roman"/>
          <w:bCs/>
          <w:i/>
          <w:iCs/>
          <w:szCs w:val="26"/>
        </w:rPr>
      </w:pPr>
      <w:r>
        <w:rPr>
          <w:rFonts w:ascii="Arial" w:eastAsia="Times New Roman" w:hAnsi="Arial" w:cs="Times New Roman"/>
          <w:bCs/>
          <w:i/>
          <w:iCs/>
          <w:szCs w:val="26"/>
        </w:rPr>
        <w:t xml:space="preserve">RQ3. </w:t>
      </w:r>
      <w:r w:rsidRPr="00D416D0">
        <w:rPr>
          <w:rFonts w:ascii="Arial" w:eastAsia="Times New Roman" w:hAnsi="Arial" w:cs="Times New Roman"/>
          <w:bCs/>
          <w:i/>
          <w:iCs/>
          <w:szCs w:val="26"/>
        </w:rPr>
        <w:t>What type (terrace, semi, bungalows, flats and detached) and size (number of habitable rooms) of housing is appropriate?</w:t>
      </w:r>
      <w:bookmarkStart w:id="76" w:name="_Toc489984291"/>
    </w:p>
    <w:p w:rsidR="00D416D0" w:rsidRPr="00C26717" w:rsidRDefault="00D416D0" w:rsidP="00C26717">
      <w:pPr>
        <w:pStyle w:val="Heading2"/>
        <w:rPr>
          <w:rFonts w:eastAsia="Times New Roman" w:cs="Times New Roman"/>
        </w:rPr>
      </w:pPr>
      <w:bookmarkStart w:id="77" w:name="_Toc504464724"/>
      <w:r w:rsidRPr="00C26717">
        <w:rPr>
          <w:rFonts w:eastAsia="Times New Roman"/>
        </w:rPr>
        <w:t xml:space="preserve">Housing for </w:t>
      </w:r>
      <w:bookmarkEnd w:id="76"/>
      <w:r w:rsidRPr="00C26717">
        <w:rPr>
          <w:rFonts w:eastAsia="Times New Roman"/>
        </w:rPr>
        <w:t>specialist groups</w:t>
      </w:r>
      <w:bookmarkEnd w:id="77"/>
    </w:p>
    <w:p w:rsidR="00D416D0" w:rsidRPr="007E60B0" w:rsidRDefault="00D416D0" w:rsidP="00C26717">
      <w:pPr>
        <w:pStyle w:val="ListNumber"/>
      </w:pPr>
      <w:r w:rsidRPr="007E60B0">
        <w:t>WWPC has commen</w:t>
      </w:r>
      <w:r>
        <w:t>ted that older people are under-</w:t>
      </w:r>
      <w:r w:rsidRPr="007E60B0">
        <w:t>served in the area as there are few suitable dwellings for people to ‘downsize’</w:t>
      </w:r>
      <w:r>
        <w:t xml:space="preserve"> into; in addition, there is limited provision of specialist housing for the elderly in West Wittering. </w:t>
      </w:r>
    </w:p>
    <w:p w:rsidR="00D416D0" w:rsidRPr="00D416D0" w:rsidRDefault="00D416D0" w:rsidP="00D416D0">
      <w:pPr>
        <w:tabs>
          <w:tab w:val="clear" w:pos="284"/>
        </w:tabs>
        <w:spacing w:after="240" w:line="276" w:lineRule="auto"/>
        <w:outlineLvl w:val="4"/>
        <w:rPr>
          <w:rFonts w:ascii="Arial" w:eastAsia="Times New Roman" w:hAnsi="Arial" w:cs="Times New Roman"/>
          <w:bCs/>
          <w:iCs/>
          <w:szCs w:val="26"/>
        </w:rPr>
      </w:pPr>
      <w:r>
        <w:rPr>
          <w:rFonts w:ascii="Arial" w:eastAsia="Times New Roman" w:hAnsi="Arial" w:cs="Times New Roman"/>
          <w:bCs/>
          <w:i/>
          <w:iCs/>
          <w:szCs w:val="26"/>
        </w:rPr>
        <w:t xml:space="preserve">RQ4. </w:t>
      </w:r>
      <w:r w:rsidRPr="00D416D0">
        <w:rPr>
          <w:rFonts w:ascii="Arial" w:eastAsia="Times New Roman" w:hAnsi="Arial" w:cs="Times New Roman"/>
          <w:bCs/>
          <w:i/>
          <w:iCs/>
          <w:szCs w:val="26"/>
        </w:rPr>
        <w:t>What provision should be made for specialist housing within the NPA?</w:t>
      </w:r>
    </w:p>
    <w:p w:rsidR="00E80CC8" w:rsidRPr="00E80CC8" w:rsidRDefault="00E80CC8" w:rsidP="00B90B1C">
      <w:pPr>
        <w:pStyle w:val="Heading2"/>
        <w:rPr>
          <w:lang w:val="en-US"/>
        </w:rPr>
      </w:pPr>
      <w:bookmarkStart w:id="78" w:name="_Toc425332015"/>
      <w:bookmarkStart w:id="79" w:name="_Toc461696217"/>
      <w:bookmarkStart w:id="80" w:name="_Toc504464725"/>
      <w:r w:rsidRPr="00E80CC8">
        <w:rPr>
          <w:lang w:val="en-US"/>
        </w:rPr>
        <w:t xml:space="preserve">Study </w:t>
      </w:r>
      <w:r w:rsidR="00402B82">
        <w:rPr>
          <w:lang w:val="en-US"/>
        </w:rPr>
        <w:t>o</w:t>
      </w:r>
      <w:r w:rsidRPr="00E80CC8">
        <w:rPr>
          <w:lang w:val="en-US"/>
        </w:rPr>
        <w:t>bjectives</w:t>
      </w:r>
      <w:bookmarkEnd w:id="78"/>
      <w:bookmarkEnd w:id="79"/>
      <w:bookmarkEnd w:id="80"/>
    </w:p>
    <w:p w:rsidR="00E80CC8" w:rsidRPr="00B90B1C" w:rsidRDefault="00E80CC8" w:rsidP="00B90B1C">
      <w:pPr>
        <w:pStyle w:val="ListNumber"/>
        <w:rPr>
          <w:lang w:val="en-US"/>
        </w:rPr>
      </w:pPr>
      <w:r w:rsidRPr="00B90B1C">
        <w:rPr>
          <w:lang w:val="en-US"/>
        </w:rPr>
        <w:t xml:space="preserve">The objectives of this </w:t>
      </w:r>
      <w:r w:rsidR="00402B82">
        <w:rPr>
          <w:lang w:val="en-US"/>
        </w:rPr>
        <w:t>assessment</w:t>
      </w:r>
      <w:r w:rsidR="00402B82" w:rsidRPr="00B90B1C">
        <w:rPr>
          <w:lang w:val="en-US"/>
        </w:rPr>
        <w:t xml:space="preserve"> </w:t>
      </w:r>
      <w:r w:rsidRPr="00B90B1C">
        <w:rPr>
          <w:lang w:val="en-US"/>
        </w:rPr>
        <w:t>can be summarised as:</w:t>
      </w:r>
    </w:p>
    <w:p w:rsidR="00E80CC8" w:rsidRPr="00B90B1C" w:rsidRDefault="006620BC" w:rsidP="00C57544">
      <w:pPr>
        <w:pStyle w:val="BodyText"/>
        <w:numPr>
          <w:ilvl w:val="0"/>
          <w:numId w:val="22"/>
        </w:numPr>
        <w:rPr>
          <w:bCs/>
          <w:iCs/>
          <w:lang w:val="en-US"/>
        </w:rPr>
      </w:pPr>
      <w:r>
        <w:rPr>
          <w:bCs/>
          <w:iCs/>
          <w:lang w:val="en-US"/>
        </w:rPr>
        <w:t>c</w:t>
      </w:r>
      <w:r w:rsidR="00E80CC8" w:rsidRPr="00B90B1C">
        <w:rPr>
          <w:bCs/>
          <w:iCs/>
          <w:lang w:val="en-US"/>
        </w:rPr>
        <w:t>ollation of a range of data with relevance to housing need in</w:t>
      </w:r>
      <w:r w:rsidR="00DC7A83">
        <w:rPr>
          <w:bCs/>
          <w:iCs/>
          <w:lang w:val="en-US"/>
        </w:rPr>
        <w:t xml:space="preserve"> West </w:t>
      </w:r>
      <w:proofErr w:type="spellStart"/>
      <w:r w:rsidR="00DC7A83">
        <w:rPr>
          <w:bCs/>
          <w:iCs/>
          <w:lang w:val="en-US"/>
        </w:rPr>
        <w:t>Wittering</w:t>
      </w:r>
      <w:proofErr w:type="spellEnd"/>
      <w:r w:rsidR="00E80CC8" w:rsidRPr="00B90B1C">
        <w:rPr>
          <w:bCs/>
          <w:iCs/>
          <w:lang w:val="en-US"/>
        </w:rPr>
        <w:t xml:space="preserve"> relative to </w:t>
      </w:r>
      <w:proofErr w:type="spellStart"/>
      <w:r w:rsidR="00DC7A83">
        <w:rPr>
          <w:bCs/>
          <w:iCs/>
          <w:lang w:val="en-US"/>
        </w:rPr>
        <w:t>Chichester</w:t>
      </w:r>
      <w:proofErr w:type="spellEnd"/>
      <w:r>
        <w:rPr>
          <w:bCs/>
          <w:iCs/>
          <w:lang w:val="en-US"/>
        </w:rPr>
        <w:t>;</w:t>
      </w:r>
    </w:p>
    <w:p w:rsidR="00E80CC8" w:rsidRPr="00B90B1C" w:rsidRDefault="006620BC" w:rsidP="00C57544">
      <w:pPr>
        <w:pStyle w:val="BodyText"/>
        <w:numPr>
          <w:ilvl w:val="0"/>
          <w:numId w:val="22"/>
        </w:numPr>
        <w:rPr>
          <w:bCs/>
          <w:iCs/>
          <w:lang w:val="en-US"/>
        </w:rPr>
      </w:pPr>
      <w:r>
        <w:rPr>
          <w:bCs/>
          <w:iCs/>
          <w:lang w:val="en-US"/>
        </w:rPr>
        <w:t>a</w:t>
      </w:r>
      <w:r w:rsidR="00E80CC8" w:rsidRPr="00B90B1C">
        <w:rPr>
          <w:bCs/>
          <w:iCs/>
          <w:lang w:val="en-US"/>
        </w:rPr>
        <w:t>nalysis of that data to determine patterns of housing need and demand;</w:t>
      </w:r>
      <w:r>
        <w:rPr>
          <w:bCs/>
          <w:iCs/>
          <w:lang w:val="en-US"/>
        </w:rPr>
        <w:t xml:space="preserve"> and</w:t>
      </w:r>
    </w:p>
    <w:p w:rsidR="00E80CC8" w:rsidRPr="00B90B1C" w:rsidRDefault="006620BC" w:rsidP="00C57544">
      <w:pPr>
        <w:pStyle w:val="BodyText"/>
        <w:numPr>
          <w:ilvl w:val="0"/>
          <w:numId w:val="22"/>
        </w:numPr>
        <w:rPr>
          <w:bCs/>
          <w:iCs/>
          <w:lang w:val="en-US"/>
        </w:rPr>
      </w:pPr>
      <w:proofErr w:type="gramStart"/>
      <w:r>
        <w:rPr>
          <w:bCs/>
          <w:iCs/>
          <w:lang w:val="en-US"/>
        </w:rPr>
        <w:t>s</w:t>
      </w:r>
      <w:r w:rsidR="00E80CC8" w:rsidRPr="00B90B1C">
        <w:rPr>
          <w:bCs/>
          <w:iCs/>
          <w:lang w:val="en-US"/>
        </w:rPr>
        <w:t>etting</w:t>
      </w:r>
      <w:proofErr w:type="gramEnd"/>
      <w:r w:rsidR="00E80CC8" w:rsidRPr="00B90B1C">
        <w:rPr>
          <w:bCs/>
          <w:iCs/>
          <w:lang w:val="en-US"/>
        </w:rPr>
        <w:t xml:space="preserve"> out recommendations based on our data analysis that can be used to inform the Neighbourhood Plan’s housing policies.</w:t>
      </w:r>
    </w:p>
    <w:p w:rsidR="00E80CC8" w:rsidRPr="00B25544" w:rsidRDefault="00E80CC8" w:rsidP="00B25544">
      <w:pPr>
        <w:pStyle w:val="ListNumber"/>
        <w:rPr>
          <w:lang w:val="en-US"/>
        </w:rPr>
      </w:pPr>
      <w:r w:rsidRPr="00B90B1C">
        <w:rPr>
          <w:lang w:val="en-US"/>
        </w:rPr>
        <w:t>The remainder of this report is structured arou</w:t>
      </w:r>
      <w:r w:rsidR="00B25544">
        <w:rPr>
          <w:lang w:val="en-US"/>
        </w:rPr>
        <w:t xml:space="preserve">nd the objectives set out </w:t>
      </w:r>
      <w:proofErr w:type="spellStart"/>
      <w:r w:rsidR="00B25544">
        <w:rPr>
          <w:lang w:val="en-US"/>
        </w:rPr>
        <w:t>abov</w:t>
      </w:r>
      <w:proofErr w:type="spellEnd"/>
      <w:r w:rsidR="00B25544">
        <w:rPr>
          <w:lang w:val="en-US"/>
        </w:rPr>
        <w:t>, whilst chapter 9</w:t>
      </w:r>
      <w:r w:rsidRPr="00B25544">
        <w:rPr>
          <w:bCs/>
          <w:iCs/>
          <w:lang w:val="en-US"/>
        </w:rPr>
        <w:t xml:space="preserve"> sets out our conclusions and recommendations based on our data analysis that can be used to inform the Neighbourhood Plan’s housing policies. </w:t>
      </w:r>
    </w:p>
    <w:p w:rsidR="00B25544" w:rsidRDefault="00B25544">
      <w:pPr>
        <w:tabs>
          <w:tab w:val="clear" w:pos="284"/>
        </w:tabs>
        <w:spacing w:line="240" w:lineRule="auto"/>
        <w:rPr>
          <w:rFonts w:asciiTheme="majorHAnsi" w:eastAsiaTheme="majorEastAsia" w:hAnsiTheme="majorHAnsi" w:cstheme="majorBidi"/>
          <w:b/>
          <w:bCs/>
          <w:color w:val="00B5E2" w:themeColor="accent1"/>
          <w:sz w:val="30"/>
          <w:szCs w:val="28"/>
        </w:rPr>
      </w:pPr>
      <w:bookmarkStart w:id="81" w:name="_Toc504464726"/>
      <w:r>
        <w:br w:type="page"/>
      </w:r>
    </w:p>
    <w:p w:rsidR="00E858D8" w:rsidRPr="00B25544" w:rsidRDefault="00E858D8" w:rsidP="00B25544">
      <w:pPr>
        <w:pStyle w:val="Heading1"/>
      </w:pPr>
      <w:r w:rsidRPr="00B25544">
        <w:lastRenderedPageBreak/>
        <w:t>Relevant Data</w:t>
      </w:r>
      <w:bookmarkEnd w:id="81"/>
    </w:p>
    <w:p w:rsidR="00E858D8" w:rsidRPr="00B64350" w:rsidRDefault="00E858D8" w:rsidP="00B64350">
      <w:pPr>
        <w:pStyle w:val="Heading2"/>
        <w:numPr>
          <w:ilvl w:val="1"/>
          <w:numId w:val="39"/>
        </w:numPr>
        <w:rPr>
          <w:lang w:val="en-US"/>
        </w:rPr>
      </w:pPr>
      <w:bookmarkStart w:id="82" w:name="_Toc504464727"/>
      <w:r w:rsidRPr="00B64350">
        <w:rPr>
          <w:lang w:val="en-US"/>
        </w:rPr>
        <w:t>SHMA</w:t>
      </w:r>
      <w:bookmarkEnd w:id="82"/>
    </w:p>
    <w:p w:rsidR="0087026F" w:rsidRPr="00D25C66" w:rsidRDefault="00E858D8" w:rsidP="0087026F">
      <w:pPr>
        <w:pStyle w:val="ListNumber"/>
        <w:rPr>
          <w:color w:val="FF0000"/>
          <w:lang w:val="en-US"/>
        </w:rPr>
      </w:pPr>
      <w:r w:rsidRPr="0087026F">
        <w:rPr>
          <w:lang w:val="en-US"/>
        </w:rPr>
        <w:t>The PPG states that neighbourhood planners can refer to existing needs assessment</w:t>
      </w:r>
      <w:r w:rsidR="00BA1D3D">
        <w:rPr>
          <w:lang w:val="en-US"/>
        </w:rPr>
        <w:t>s</w:t>
      </w:r>
      <w:r w:rsidRPr="0087026F">
        <w:rPr>
          <w:lang w:val="en-US"/>
        </w:rPr>
        <w:t xml:space="preserve"> prepared by the local planning authority as a starting point. </w:t>
      </w:r>
      <w:r w:rsidR="00B64350" w:rsidRPr="0087026F">
        <w:rPr>
          <w:lang w:val="en-US"/>
        </w:rPr>
        <w:t xml:space="preserve">The Strategic Market Housing Assessment (SHMA) employed by the CDC to support their housing policies, the Coastal West Sussex SHMA, published in November 2012 (CWSS12), based on an analysis of migration and commuting patterns together with house price differentials, identifies </w:t>
      </w:r>
      <w:r w:rsidR="00B64350" w:rsidRPr="0087026F">
        <w:rPr>
          <w:i/>
          <w:lang w:val="en-US"/>
        </w:rPr>
        <w:t xml:space="preserve">‘a Sussex Coast Housing Market stretching from Seaford in the east to West </w:t>
      </w:r>
      <w:proofErr w:type="spellStart"/>
      <w:r w:rsidR="00B64350" w:rsidRPr="0087026F">
        <w:rPr>
          <w:i/>
          <w:lang w:val="en-US"/>
        </w:rPr>
        <w:t>Wittering</w:t>
      </w:r>
      <w:proofErr w:type="spellEnd"/>
      <w:r w:rsidR="00B64350" w:rsidRPr="0087026F">
        <w:rPr>
          <w:i/>
          <w:lang w:val="en-US"/>
        </w:rPr>
        <w:t xml:space="preserve"> in the West along the Coast</w:t>
      </w:r>
      <w:r w:rsidR="0087026F">
        <w:rPr>
          <w:i/>
          <w:lang w:val="en-US"/>
        </w:rPr>
        <w:t>….</w:t>
      </w:r>
      <w:r w:rsidR="0087026F" w:rsidRPr="0087026F">
        <w:t xml:space="preserve"> </w:t>
      </w:r>
      <w:r w:rsidR="0087026F" w:rsidRPr="0087026F">
        <w:rPr>
          <w:i/>
          <w:color w:val="000000" w:themeColor="text1"/>
          <w:lang w:val="en-US"/>
        </w:rPr>
        <w:t xml:space="preserve">The housing market includes the local authorities of </w:t>
      </w:r>
      <w:proofErr w:type="spellStart"/>
      <w:r w:rsidR="0087026F" w:rsidRPr="0087026F">
        <w:rPr>
          <w:i/>
          <w:color w:val="000000" w:themeColor="text1"/>
          <w:lang w:val="en-US"/>
        </w:rPr>
        <w:t>Chichester</w:t>
      </w:r>
      <w:proofErr w:type="spellEnd"/>
      <w:r w:rsidR="0087026F" w:rsidRPr="0087026F">
        <w:rPr>
          <w:i/>
          <w:color w:val="000000" w:themeColor="text1"/>
          <w:lang w:val="en-US"/>
        </w:rPr>
        <w:t xml:space="preserve">, </w:t>
      </w:r>
      <w:proofErr w:type="spellStart"/>
      <w:r w:rsidR="0087026F" w:rsidRPr="0087026F">
        <w:rPr>
          <w:i/>
          <w:color w:val="000000" w:themeColor="text1"/>
          <w:lang w:val="en-US"/>
        </w:rPr>
        <w:t>Arun</w:t>
      </w:r>
      <w:proofErr w:type="spellEnd"/>
      <w:r w:rsidR="0087026F" w:rsidRPr="0087026F">
        <w:rPr>
          <w:i/>
          <w:color w:val="000000" w:themeColor="text1"/>
          <w:lang w:val="en-US"/>
        </w:rPr>
        <w:t xml:space="preserve">, </w:t>
      </w:r>
      <w:proofErr w:type="spellStart"/>
      <w:r w:rsidR="0087026F" w:rsidRPr="0087026F">
        <w:rPr>
          <w:i/>
          <w:color w:val="000000" w:themeColor="text1"/>
          <w:lang w:val="en-US"/>
        </w:rPr>
        <w:t>Worthing</w:t>
      </w:r>
      <w:proofErr w:type="spellEnd"/>
      <w:r w:rsidR="0087026F" w:rsidRPr="0087026F">
        <w:rPr>
          <w:i/>
          <w:color w:val="000000" w:themeColor="text1"/>
          <w:lang w:val="en-US"/>
        </w:rPr>
        <w:t xml:space="preserve">, </w:t>
      </w:r>
      <w:proofErr w:type="spellStart"/>
      <w:r w:rsidR="0087026F" w:rsidRPr="0087026F">
        <w:rPr>
          <w:i/>
          <w:color w:val="000000" w:themeColor="text1"/>
          <w:lang w:val="en-US"/>
        </w:rPr>
        <w:t>Adur</w:t>
      </w:r>
      <w:proofErr w:type="spellEnd"/>
      <w:r w:rsidR="0087026F" w:rsidRPr="0087026F">
        <w:rPr>
          <w:i/>
          <w:color w:val="000000" w:themeColor="text1"/>
          <w:lang w:val="en-US"/>
        </w:rPr>
        <w:t>, Brighton and Hove and Lewes.</w:t>
      </w:r>
      <w:r w:rsidR="00B64350" w:rsidRPr="0087026F">
        <w:rPr>
          <w:i/>
          <w:lang w:val="en-US"/>
        </w:rPr>
        <w:t>’</w:t>
      </w:r>
      <w:r w:rsidR="00B64350" w:rsidRPr="0087026F">
        <w:rPr>
          <w:rStyle w:val="FootnoteReference"/>
          <w:i/>
          <w:color w:val="000000" w:themeColor="text1"/>
          <w:lang w:val="en-US"/>
        </w:rPr>
        <w:footnoteReference w:id="6"/>
      </w:r>
      <w:r w:rsidR="00B64350" w:rsidRPr="0087026F">
        <w:rPr>
          <w:lang w:val="en-US"/>
        </w:rPr>
        <w:t xml:space="preserve">  It is therefore reasonable to turn to this, together with updates to this document, the Review of Objectively Assessed Housing Need in light of 2012-based Sub</w:t>
      </w:r>
      <w:r w:rsidR="006620BC">
        <w:rPr>
          <w:lang w:val="en-US"/>
        </w:rPr>
        <w:t>-</w:t>
      </w:r>
      <w:r w:rsidR="00B64350" w:rsidRPr="0087026F">
        <w:rPr>
          <w:lang w:val="en-US"/>
        </w:rPr>
        <w:t>national Population Projections, publ</w:t>
      </w:r>
      <w:r w:rsidR="00BA1D3D">
        <w:rPr>
          <w:lang w:val="en-US"/>
        </w:rPr>
        <w:t>ished in August 20</w:t>
      </w:r>
      <w:r w:rsidR="00B64350" w:rsidRPr="0087026F">
        <w:rPr>
          <w:lang w:val="en-US"/>
        </w:rPr>
        <w:t xml:space="preserve">14 (ROANH14), and the </w:t>
      </w:r>
      <w:r w:rsidR="0087026F" w:rsidRPr="0087026F">
        <w:rPr>
          <w:lang w:val="en-US"/>
        </w:rPr>
        <w:t>Assessment of Housing Development Needs Study, published in April 2014 (AHDNS14)</w:t>
      </w:r>
      <w:r w:rsidR="0087026F">
        <w:rPr>
          <w:lang w:val="en-US"/>
        </w:rPr>
        <w:t xml:space="preserve"> in search of relevant evidence to respond to the Research Questions posed in this HNA. These studies are referred to henceforward as the ‘SHMA studies.’ </w:t>
      </w:r>
    </w:p>
    <w:p w:rsidR="00D25C66" w:rsidRPr="00183753" w:rsidRDefault="00D25C66" w:rsidP="00D25C66">
      <w:pPr>
        <w:pStyle w:val="ListNumber"/>
      </w:pPr>
      <w:r w:rsidRPr="00183753">
        <w:t>PPG defines a</w:t>
      </w:r>
      <w:r>
        <w:t>n</w:t>
      </w:r>
      <w:r w:rsidRPr="00183753">
        <w:t xml:space="preserve"> HMA as a geographical area ‘defined by </w:t>
      </w:r>
      <w:r w:rsidRPr="00183753">
        <w:rPr>
          <w:u w:val="single"/>
        </w:rPr>
        <w:t>household demand</w:t>
      </w:r>
      <w:r w:rsidRPr="00183753">
        <w:t xml:space="preserve"> and preferences for all types of housing, reflecting the </w:t>
      </w:r>
      <w:r w:rsidRPr="00183753">
        <w:rPr>
          <w:u w:val="single"/>
        </w:rPr>
        <w:t>key functional linkages</w:t>
      </w:r>
      <w:r w:rsidRPr="00183753">
        <w:t xml:space="preserve"> between places where people live and work.’</w:t>
      </w:r>
      <w:r w:rsidRPr="00183753">
        <w:rPr>
          <w:rStyle w:val="FootnoteReference"/>
          <w:rFonts w:ascii="Arial" w:hAnsi="Arial" w:cs="Arial"/>
          <w:szCs w:val="24"/>
        </w:rPr>
        <w:footnoteReference w:id="7"/>
      </w:r>
      <w:r w:rsidRPr="00183753">
        <w:t xml:space="preserve"> It goes on to remark that ‘establishing the assessment area may identify </w:t>
      </w:r>
      <w:r w:rsidRPr="00183753">
        <w:rPr>
          <w:u w:val="single"/>
        </w:rPr>
        <w:t>smaller sub-markets with specific features</w:t>
      </w:r>
      <w:r w:rsidRPr="00183753">
        <w:t>, and it may be appropriate to investigate these specifically in order to create a detailed picture of local need. It is important also to recognise that there are ‘</w:t>
      </w:r>
      <w:r w:rsidRPr="00183753">
        <w:rPr>
          <w:u w:val="single"/>
        </w:rPr>
        <w:t>market segments</w:t>
      </w:r>
      <w:r w:rsidRPr="00183753">
        <w:t xml:space="preserve">,’ i.e. not all housing types or economic </w:t>
      </w:r>
      <w:proofErr w:type="gramStart"/>
      <w:r w:rsidRPr="00183753">
        <w:t>development have</w:t>
      </w:r>
      <w:proofErr w:type="gramEnd"/>
      <w:r w:rsidRPr="00183753">
        <w:t xml:space="preserve"> the same appeal to different occupants.’</w:t>
      </w:r>
      <w:r w:rsidRPr="00183753">
        <w:rPr>
          <w:rStyle w:val="FootnoteReference"/>
          <w:rFonts w:ascii="Arial" w:hAnsi="Arial" w:cs="Arial"/>
          <w:szCs w:val="24"/>
        </w:rPr>
        <w:footnoteReference w:id="8"/>
      </w:r>
      <w:r w:rsidRPr="00183753">
        <w:t xml:space="preserve"> </w:t>
      </w:r>
    </w:p>
    <w:p w:rsidR="00D25C66" w:rsidRPr="00D25C66" w:rsidRDefault="00D25C66" w:rsidP="00D25C66">
      <w:pPr>
        <w:pStyle w:val="ListNumber"/>
      </w:pPr>
      <w:r w:rsidRPr="00183753">
        <w:t>PPG therefore sets two principle tests for identifying a functional HMA</w:t>
      </w:r>
      <w:r>
        <w:t>:</w:t>
      </w:r>
      <w:r w:rsidRPr="00183753">
        <w:t xml:space="preserve"> patterns of demand for housing and commuting relationships. The first can be denoted by the concept of ‘self-containment</w:t>
      </w:r>
      <w:r w:rsidR="00AE41A5">
        <w:t>’</w:t>
      </w:r>
      <w:r w:rsidRPr="00183753">
        <w:t xml:space="preserve">, the degree to which household moves are contained within a certain geographical area, and the second </w:t>
      </w:r>
      <w:r>
        <w:t>by ‘travel to work areas</w:t>
      </w:r>
      <w:r w:rsidR="00AE41A5">
        <w:t>’</w:t>
      </w:r>
      <w:r>
        <w:t xml:space="preserve">.  It is </w:t>
      </w:r>
      <w:r w:rsidRPr="00183753">
        <w:t xml:space="preserve">generally assumed that </w:t>
      </w:r>
      <w:r>
        <w:t xml:space="preserve">a strong HMA will show </w:t>
      </w:r>
      <w:r w:rsidRPr="00183753">
        <w:t xml:space="preserve">70% of household moves </w:t>
      </w:r>
      <w:r w:rsidR="00AE41A5">
        <w:t>to</w:t>
      </w:r>
      <w:r w:rsidRPr="00183753">
        <w:t xml:space="preserve"> be c</w:t>
      </w:r>
      <w:r>
        <w:t>ontained within it</w:t>
      </w:r>
      <w:r w:rsidRPr="00183753">
        <w:t>.</w:t>
      </w:r>
    </w:p>
    <w:p w:rsidR="00E858D8" w:rsidRPr="00B64350" w:rsidRDefault="00D25C66" w:rsidP="00B64350">
      <w:pPr>
        <w:pStyle w:val="ListNumber"/>
        <w:rPr>
          <w:color w:val="FF0000"/>
          <w:lang w:val="en-US"/>
        </w:rPr>
      </w:pPr>
      <w:r>
        <w:rPr>
          <w:color w:val="000000" w:themeColor="text1"/>
          <w:lang w:val="en-US"/>
        </w:rPr>
        <w:t xml:space="preserve">In the case of West </w:t>
      </w:r>
      <w:proofErr w:type="spellStart"/>
      <w:r>
        <w:rPr>
          <w:color w:val="000000" w:themeColor="text1"/>
          <w:lang w:val="en-US"/>
        </w:rPr>
        <w:t>Wittering</w:t>
      </w:r>
      <w:proofErr w:type="spellEnd"/>
      <w:r>
        <w:rPr>
          <w:color w:val="000000" w:themeColor="text1"/>
          <w:lang w:val="en-US"/>
        </w:rPr>
        <w:t>, the</w:t>
      </w:r>
      <w:r w:rsidR="0087026F">
        <w:rPr>
          <w:color w:val="000000" w:themeColor="text1"/>
          <w:lang w:val="en-US"/>
        </w:rPr>
        <w:t xml:space="preserve"> SHMA studies provides a finer grain analysis, producing data within ‘sub-areas’ of which the constituent local authorities are made up. The relevant sub-area for West </w:t>
      </w:r>
      <w:proofErr w:type="spellStart"/>
      <w:r w:rsidR="0087026F">
        <w:rPr>
          <w:color w:val="000000" w:themeColor="text1"/>
          <w:lang w:val="en-US"/>
        </w:rPr>
        <w:t>Wittering</w:t>
      </w:r>
      <w:proofErr w:type="spellEnd"/>
      <w:r w:rsidR="0087026F">
        <w:rPr>
          <w:color w:val="000000" w:themeColor="text1"/>
          <w:lang w:val="en-US"/>
        </w:rPr>
        <w:t xml:space="preserve"> is </w:t>
      </w:r>
      <w:proofErr w:type="spellStart"/>
      <w:r w:rsidR="0087026F">
        <w:rPr>
          <w:color w:val="000000" w:themeColor="text1"/>
          <w:lang w:val="en-US"/>
        </w:rPr>
        <w:t>Chichester</w:t>
      </w:r>
      <w:proofErr w:type="spellEnd"/>
      <w:r w:rsidR="0087026F">
        <w:rPr>
          <w:color w:val="000000" w:themeColor="text1"/>
          <w:lang w:val="en-US"/>
        </w:rPr>
        <w:t xml:space="preserve"> South.</w:t>
      </w:r>
      <w:r w:rsidR="0087026F">
        <w:rPr>
          <w:rStyle w:val="FootnoteReference"/>
          <w:lang w:val="en-US"/>
        </w:rPr>
        <w:footnoteReference w:id="9"/>
      </w:r>
      <w:r w:rsidR="0087026F">
        <w:rPr>
          <w:color w:val="000000" w:themeColor="text1"/>
          <w:lang w:val="en-US"/>
        </w:rPr>
        <w:t xml:space="preserve"> </w:t>
      </w:r>
    </w:p>
    <w:p w:rsidR="009F367B" w:rsidRDefault="00E858D8" w:rsidP="00047FDB">
      <w:pPr>
        <w:pStyle w:val="ListNumber"/>
        <w:rPr>
          <w:lang w:val="en-US"/>
        </w:rPr>
      </w:pPr>
      <w:r w:rsidRPr="00E858D8">
        <w:rPr>
          <w:lang w:val="en-US"/>
        </w:rPr>
        <w:t xml:space="preserve">The SHMA </w:t>
      </w:r>
      <w:r w:rsidR="00D25C66">
        <w:rPr>
          <w:lang w:val="en-US"/>
        </w:rPr>
        <w:t>studies draw</w:t>
      </w:r>
      <w:r w:rsidRPr="00E858D8">
        <w:rPr>
          <w:lang w:val="en-US"/>
        </w:rPr>
        <w:t xml:space="preserve"> upon a range of data including population </w:t>
      </w:r>
      <w:r w:rsidR="009F367B">
        <w:rPr>
          <w:lang w:val="en-US"/>
        </w:rPr>
        <w:t xml:space="preserve">and demographic </w:t>
      </w:r>
      <w:r w:rsidRPr="00E858D8">
        <w:rPr>
          <w:lang w:val="en-US"/>
        </w:rPr>
        <w:t>projections, housing market transactions and employment scenarios to derive the objectively-assessed housing need</w:t>
      </w:r>
      <w:r w:rsidR="009F367B">
        <w:rPr>
          <w:lang w:val="en-US"/>
        </w:rPr>
        <w:t xml:space="preserve"> for the </w:t>
      </w:r>
      <w:r w:rsidR="005F5CF8">
        <w:rPr>
          <w:lang w:val="en-US"/>
        </w:rPr>
        <w:t>District</w:t>
      </w:r>
      <w:r w:rsidRPr="00E858D8">
        <w:rPr>
          <w:lang w:val="en-US"/>
        </w:rPr>
        <w:t xml:space="preserve">. As such, it contains a number of points of relevance when determining </w:t>
      </w:r>
      <w:r w:rsidR="009F367B">
        <w:rPr>
          <w:lang w:val="en-US"/>
        </w:rPr>
        <w:t xml:space="preserve">housing need within the NPA. </w:t>
      </w:r>
    </w:p>
    <w:p w:rsidR="0024353A" w:rsidRPr="009F367B" w:rsidRDefault="009F367B" w:rsidP="009F367B">
      <w:pPr>
        <w:pStyle w:val="ListNumber"/>
        <w:rPr>
          <w:lang w:val="en-US"/>
        </w:rPr>
      </w:pPr>
      <w:r w:rsidRPr="009F367B">
        <w:rPr>
          <w:lang w:val="en-US"/>
        </w:rPr>
        <w:t xml:space="preserve">This provides a strong starting point for </w:t>
      </w:r>
      <w:r>
        <w:rPr>
          <w:lang w:val="en-US"/>
        </w:rPr>
        <w:t xml:space="preserve">policy development that aims to build on and add local specificity to those </w:t>
      </w:r>
      <w:r w:rsidR="00785E66">
        <w:rPr>
          <w:lang w:val="en-US"/>
        </w:rPr>
        <w:t xml:space="preserve">policies </w:t>
      </w:r>
      <w:r>
        <w:rPr>
          <w:lang w:val="en-US"/>
        </w:rPr>
        <w:t>of the</w:t>
      </w:r>
      <w:r w:rsidR="0016203A">
        <w:rPr>
          <w:lang w:val="en-US"/>
        </w:rPr>
        <w:t xml:space="preserve"> LPA</w:t>
      </w:r>
      <w:r>
        <w:rPr>
          <w:lang w:val="en-US"/>
        </w:rPr>
        <w:t xml:space="preserve"> by </w:t>
      </w:r>
      <w:r w:rsidR="00807A04">
        <w:rPr>
          <w:lang w:val="en-US"/>
        </w:rPr>
        <w:t>enabling a</w:t>
      </w:r>
      <w:r>
        <w:rPr>
          <w:lang w:val="en-US"/>
        </w:rPr>
        <w:t xml:space="preserve"> comparison </w:t>
      </w:r>
      <w:r w:rsidR="00807A04">
        <w:rPr>
          <w:lang w:val="en-US"/>
        </w:rPr>
        <w:t>to be made</w:t>
      </w:r>
      <w:r>
        <w:rPr>
          <w:lang w:val="en-US"/>
        </w:rPr>
        <w:t xml:space="preserve"> </w:t>
      </w:r>
      <w:r w:rsidR="00807A04">
        <w:rPr>
          <w:lang w:val="en-US"/>
        </w:rPr>
        <w:t>with</w:t>
      </w:r>
      <w:r>
        <w:rPr>
          <w:lang w:val="en-US"/>
        </w:rPr>
        <w:t xml:space="preserve"> </w:t>
      </w:r>
      <w:r w:rsidR="005F5CF8">
        <w:rPr>
          <w:lang w:val="en-US"/>
        </w:rPr>
        <w:t>Parish</w:t>
      </w:r>
      <w:r w:rsidRPr="009F367B">
        <w:rPr>
          <w:lang w:val="en-US"/>
        </w:rPr>
        <w:t>-level data</w:t>
      </w:r>
      <w:r w:rsidR="00807A04">
        <w:rPr>
          <w:lang w:val="en-US"/>
        </w:rPr>
        <w:t xml:space="preserve"> (gathered as part of the preparation of this study)</w:t>
      </w:r>
      <w:r>
        <w:rPr>
          <w:lang w:val="en-US"/>
        </w:rPr>
        <w:t xml:space="preserve">, given that such an exercise reveals contrasts as well as similarities. </w:t>
      </w:r>
    </w:p>
    <w:p w:rsidR="00C26717" w:rsidRDefault="00C26717">
      <w:pPr>
        <w:tabs>
          <w:tab w:val="clear" w:pos="284"/>
        </w:tabs>
        <w:spacing w:line="240" w:lineRule="auto"/>
        <w:rPr>
          <w:b/>
          <w:i/>
        </w:rPr>
      </w:pPr>
      <w:bookmarkStart w:id="83" w:name="_Toc425332018"/>
      <w:r>
        <w:rPr>
          <w:b/>
          <w:i/>
        </w:rPr>
        <w:br w:type="page"/>
      </w:r>
    </w:p>
    <w:p w:rsidR="0024353A" w:rsidRPr="009C7E35" w:rsidRDefault="0024353A" w:rsidP="00C26717">
      <w:pPr>
        <w:pStyle w:val="Heading1"/>
      </w:pPr>
      <w:bookmarkStart w:id="84" w:name="_Toc504464728"/>
      <w:r w:rsidRPr="009C7E35">
        <w:lastRenderedPageBreak/>
        <w:t>RQ1. What quantity of housing is appropriate for the NPA?</w:t>
      </w:r>
      <w:bookmarkEnd w:id="84"/>
    </w:p>
    <w:p w:rsidR="0024353A" w:rsidRPr="00D416D0" w:rsidRDefault="0024353A" w:rsidP="0024353A">
      <w:pPr>
        <w:pStyle w:val="ListNumber"/>
        <w:numPr>
          <w:ilvl w:val="0"/>
          <w:numId w:val="0"/>
        </w:numPr>
        <w:ind w:left="425" w:hanging="425"/>
        <w:rPr>
          <w:i/>
        </w:rPr>
      </w:pPr>
    </w:p>
    <w:p w:rsidR="00654232" w:rsidRPr="002F1F02" w:rsidRDefault="00654232" w:rsidP="00C26717">
      <w:pPr>
        <w:pStyle w:val="ListNumber"/>
      </w:pPr>
      <w:r w:rsidRPr="002F1F02">
        <w:t xml:space="preserve">We have estimated the quantity of housing needed in the NPA according to four different sources; these are: </w:t>
      </w:r>
    </w:p>
    <w:p w:rsidR="00654232" w:rsidRPr="002F1F02" w:rsidRDefault="00654232" w:rsidP="00C26717">
      <w:pPr>
        <w:pStyle w:val="ListNumber2"/>
      </w:pPr>
      <w:r w:rsidRPr="002F1F02">
        <w:t xml:space="preserve">Chichester Local Plan minimum derived figure generates a target of </w:t>
      </w:r>
      <w:r w:rsidR="00CE1306" w:rsidRPr="002F1F02">
        <w:rPr>
          <w:b/>
        </w:rPr>
        <w:t xml:space="preserve">139 </w:t>
      </w:r>
      <w:r w:rsidR="00CE1306" w:rsidRPr="002F1F02">
        <w:t xml:space="preserve">dwellings over the </w:t>
      </w:r>
      <w:r w:rsidR="000375DA">
        <w:t>Plan period</w:t>
      </w:r>
      <w:r w:rsidR="00CE1306" w:rsidRPr="002F1F02">
        <w:t xml:space="preserve"> 2018-2033, or </w:t>
      </w:r>
      <w:r w:rsidR="002F1F02">
        <w:t>9</w:t>
      </w:r>
      <w:r w:rsidR="005750DE">
        <w:t xml:space="preserve"> </w:t>
      </w:r>
      <w:proofErr w:type="spellStart"/>
      <w:r w:rsidR="00CE1306" w:rsidRPr="002F1F02">
        <w:t>dpa</w:t>
      </w:r>
      <w:proofErr w:type="spellEnd"/>
      <w:r w:rsidRPr="002F1F02">
        <w:t>;</w:t>
      </w:r>
    </w:p>
    <w:p w:rsidR="00654232" w:rsidRPr="002F1F02" w:rsidRDefault="002F1F02" w:rsidP="00C26717">
      <w:pPr>
        <w:pStyle w:val="ListNumber2"/>
        <w:rPr>
          <w:bCs/>
          <w:iCs/>
        </w:rPr>
      </w:pPr>
      <w:r w:rsidRPr="002F1F02">
        <w:t>Review of Objectively Assessed Housing Need in light of 2012-based Subnational Population Projections</w:t>
      </w:r>
      <w:r w:rsidRPr="002F1F02">
        <w:rPr>
          <w:bCs/>
          <w:iCs/>
        </w:rPr>
        <w:t xml:space="preserve"> </w:t>
      </w:r>
      <w:r w:rsidR="00654232" w:rsidRPr="002F1F02">
        <w:rPr>
          <w:bCs/>
          <w:iCs/>
        </w:rPr>
        <w:t xml:space="preserve">produces a target of </w:t>
      </w:r>
      <w:r w:rsidR="00654232" w:rsidRPr="002F1F02">
        <w:rPr>
          <w:b/>
          <w:bCs/>
          <w:iCs/>
        </w:rPr>
        <w:t>2</w:t>
      </w:r>
      <w:r w:rsidRPr="002F1F02">
        <w:rPr>
          <w:b/>
          <w:bCs/>
          <w:iCs/>
        </w:rPr>
        <w:t>04</w:t>
      </w:r>
      <w:r w:rsidR="00654232" w:rsidRPr="002F1F02">
        <w:rPr>
          <w:bCs/>
          <w:iCs/>
        </w:rPr>
        <w:t xml:space="preserve"> dwellings between 201</w:t>
      </w:r>
      <w:r w:rsidRPr="002F1F02">
        <w:rPr>
          <w:bCs/>
          <w:iCs/>
        </w:rPr>
        <w:t>8</w:t>
      </w:r>
      <w:r w:rsidR="00654232" w:rsidRPr="002F1F02">
        <w:rPr>
          <w:bCs/>
          <w:iCs/>
        </w:rPr>
        <w:t xml:space="preserve"> and 20</w:t>
      </w:r>
      <w:r w:rsidRPr="002F1F02">
        <w:rPr>
          <w:bCs/>
          <w:iCs/>
        </w:rPr>
        <w:t>33</w:t>
      </w:r>
      <w:r>
        <w:rPr>
          <w:bCs/>
          <w:iCs/>
        </w:rPr>
        <w:t xml:space="preserve"> or 14</w:t>
      </w:r>
      <w:r w:rsidR="005750DE">
        <w:rPr>
          <w:bCs/>
          <w:iCs/>
        </w:rPr>
        <w:t xml:space="preserve"> </w:t>
      </w:r>
      <w:proofErr w:type="spellStart"/>
      <w:r>
        <w:rPr>
          <w:bCs/>
          <w:iCs/>
        </w:rPr>
        <w:t>dpa</w:t>
      </w:r>
      <w:proofErr w:type="spellEnd"/>
      <w:r w:rsidR="00654232" w:rsidRPr="002F1F02">
        <w:rPr>
          <w:bCs/>
          <w:iCs/>
        </w:rPr>
        <w:t>;</w:t>
      </w:r>
    </w:p>
    <w:p w:rsidR="00654232" w:rsidRPr="002F1F02" w:rsidRDefault="00B25544" w:rsidP="00C26717">
      <w:pPr>
        <w:pStyle w:val="ListNumber2"/>
      </w:pPr>
      <w:r>
        <w:t>MHCLG</w:t>
      </w:r>
      <w:r w:rsidR="00654232" w:rsidRPr="002F1F02">
        <w:t xml:space="preserve"> Household projections generate a re-based projection of </w:t>
      </w:r>
      <w:r w:rsidR="00654232" w:rsidRPr="002F1F02">
        <w:rPr>
          <w:b/>
        </w:rPr>
        <w:t xml:space="preserve">249 dwellings </w:t>
      </w:r>
      <w:r w:rsidR="002F1F02">
        <w:t xml:space="preserve">over the </w:t>
      </w:r>
      <w:r w:rsidR="000375DA">
        <w:t>Plan period</w:t>
      </w:r>
      <w:r w:rsidR="002F1F02">
        <w:t xml:space="preserve"> or 17</w:t>
      </w:r>
      <w:r w:rsidR="005750DE">
        <w:t xml:space="preserve"> </w:t>
      </w:r>
      <w:proofErr w:type="spellStart"/>
      <w:r w:rsidR="002F1F02">
        <w:t>dpa</w:t>
      </w:r>
      <w:proofErr w:type="spellEnd"/>
      <w:r w:rsidR="00654232" w:rsidRPr="002F1F02">
        <w:t>;</w:t>
      </w:r>
      <w:r w:rsidR="00D52753">
        <w:t xml:space="preserve"> and</w:t>
      </w:r>
    </w:p>
    <w:p w:rsidR="00CE1306" w:rsidRPr="002F1F02" w:rsidRDefault="00CE1306" w:rsidP="00C26717">
      <w:pPr>
        <w:pStyle w:val="ListNumber2"/>
        <w:rPr>
          <w:bCs/>
          <w:iCs/>
        </w:rPr>
      </w:pPr>
      <w:r w:rsidRPr="002F1F02">
        <w:t xml:space="preserve">A projection derived from homes growth between 2001 and 2017 of </w:t>
      </w:r>
      <w:r w:rsidRPr="002F1F02">
        <w:rPr>
          <w:b/>
        </w:rPr>
        <w:t xml:space="preserve">136 homes over the </w:t>
      </w:r>
      <w:r w:rsidR="000375DA">
        <w:rPr>
          <w:b/>
        </w:rPr>
        <w:t>Plan period</w:t>
      </w:r>
      <w:r w:rsidRPr="002F1F02">
        <w:rPr>
          <w:b/>
        </w:rPr>
        <w:t xml:space="preserve"> of 2018-2033</w:t>
      </w:r>
      <w:r w:rsidR="00D52753">
        <w:t>, or 9</w:t>
      </w:r>
      <w:r w:rsidR="005750DE">
        <w:t xml:space="preserve"> </w:t>
      </w:r>
      <w:proofErr w:type="spellStart"/>
      <w:r w:rsidR="00D52753">
        <w:t>dpa</w:t>
      </w:r>
      <w:proofErr w:type="spellEnd"/>
      <w:r w:rsidR="00D52753">
        <w:t xml:space="preserve">. </w:t>
      </w:r>
    </w:p>
    <w:p w:rsidR="00654232" w:rsidRDefault="00654232" w:rsidP="00C26717">
      <w:pPr>
        <w:pStyle w:val="ListNumber"/>
        <w:rPr>
          <w:bCs/>
          <w:iCs/>
          <w:color w:val="000000" w:themeColor="text1"/>
        </w:rPr>
      </w:pPr>
      <w:r w:rsidRPr="00BA163E">
        <w:rPr>
          <w:bCs/>
          <w:iCs/>
          <w:color w:val="000000" w:themeColor="text1"/>
        </w:rPr>
        <w:t xml:space="preserve">These calculations are set out below. </w:t>
      </w:r>
    </w:p>
    <w:p w:rsidR="00654232" w:rsidRPr="00C26717" w:rsidRDefault="00654232" w:rsidP="00C26717">
      <w:pPr>
        <w:pStyle w:val="Heading2"/>
      </w:pPr>
      <w:bookmarkStart w:id="85" w:name="_Toc504464729"/>
      <w:r w:rsidRPr="00A76479">
        <w:t>Chichester Local Plan (2014-202</w:t>
      </w:r>
      <w:r w:rsidR="00970171">
        <w:t>3</w:t>
      </w:r>
      <w:r w:rsidRPr="00A76479">
        <w:t>)</w:t>
      </w:r>
      <w:bookmarkEnd w:id="85"/>
    </w:p>
    <w:p w:rsidR="00970171" w:rsidRPr="00C26717" w:rsidRDefault="00654232" w:rsidP="00C26717">
      <w:pPr>
        <w:pStyle w:val="ListNumber"/>
      </w:pPr>
      <w:r w:rsidRPr="00C26717">
        <w:t xml:space="preserve">The Chichester </w:t>
      </w:r>
      <w:r w:rsidR="005F5CF8">
        <w:t>District</w:t>
      </w:r>
      <w:r w:rsidRPr="00C26717">
        <w:t xml:space="preserve"> Council puts forward a housing requirement for 7,388 for the </w:t>
      </w:r>
      <w:r w:rsidR="005F5CF8">
        <w:t>District</w:t>
      </w:r>
      <w:r w:rsidRPr="00C26717">
        <w:t xml:space="preserve"> over the </w:t>
      </w:r>
      <w:r w:rsidR="000375DA">
        <w:t>Plan period</w:t>
      </w:r>
      <w:r w:rsidRPr="00C26717">
        <w:t xml:space="preserve"> between 2012 and 2029 under Policy 4. </w:t>
      </w:r>
      <w:r w:rsidR="00970171" w:rsidRPr="00C26717">
        <w:t xml:space="preserve">Given the </w:t>
      </w:r>
      <w:r w:rsidR="000375DA">
        <w:t>Plan period</w:t>
      </w:r>
      <w:r w:rsidR="00970171" w:rsidRPr="00C26717">
        <w:t xml:space="preserve"> advised by WWPC of 201</w:t>
      </w:r>
      <w:r w:rsidR="00F91B43" w:rsidRPr="00C26717">
        <w:t>8</w:t>
      </w:r>
      <w:r w:rsidR="00970171" w:rsidRPr="00C26717">
        <w:t xml:space="preserve">-2033, it is necessary to identify an annual target in order to calculate a projection for the </w:t>
      </w:r>
      <w:r w:rsidR="005F5CF8">
        <w:t>Parish</w:t>
      </w:r>
      <w:r w:rsidR="00970171" w:rsidRPr="00C26717">
        <w:t xml:space="preserve">. The </w:t>
      </w:r>
      <w:r w:rsidR="005F5CF8">
        <w:t>District</w:t>
      </w:r>
      <w:r w:rsidR="00970171" w:rsidRPr="00C26717">
        <w:t xml:space="preserve"> council’s overall target </w:t>
      </w:r>
      <w:proofErr w:type="spellStart"/>
      <w:r w:rsidR="00970171" w:rsidRPr="00C26717">
        <w:t>expressd</w:t>
      </w:r>
      <w:proofErr w:type="spellEnd"/>
      <w:r w:rsidR="00970171" w:rsidRPr="00C26717">
        <w:t xml:space="preserve"> as an annual figure is 435 dwellings per annum (</w:t>
      </w:r>
      <w:proofErr w:type="spellStart"/>
      <w:r w:rsidR="00970171" w:rsidRPr="00C26717">
        <w:t>dpa</w:t>
      </w:r>
      <w:proofErr w:type="spellEnd"/>
      <w:r w:rsidR="00970171" w:rsidRPr="00C26717">
        <w:t xml:space="preserve">). </w:t>
      </w:r>
    </w:p>
    <w:p w:rsidR="00970171" w:rsidRPr="00C26717" w:rsidRDefault="00654232" w:rsidP="00C26717">
      <w:pPr>
        <w:pStyle w:val="ListNumber"/>
      </w:pPr>
      <w:r w:rsidRPr="00C26717">
        <w:t xml:space="preserve">The proportional share for West Wittering can be calculated based on the proportion of </w:t>
      </w:r>
      <w:r w:rsidR="00970171" w:rsidRPr="00C26717">
        <w:t xml:space="preserve">the total </w:t>
      </w:r>
      <w:r w:rsidRPr="00C26717">
        <w:t xml:space="preserve">dwellings </w:t>
      </w:r>
      <w:r w:rsidR="00970171" w:rsidRPr="00C26717">
        <w:t xml:space="preserve">in the </w:t>
      </w:r>
      <w:r w:rsidR="005F5CF8">
        <w:t>District</w:t>
      </w:r>
      <w:r w:rsidR="00970171" w:rsidRPr="00C26717">
        <w:t xml:space="preserve"> that fall into</w:t>
      </w:r>
      <w:r w:rsidRPr="00C26717">
        <w:t xml:space="preserve"> the NPA. At the time of the last Census (2011) there were 53,813 dwellings across the </w:t>
      </w:r>
      <w:r w:rsidR="005F5CF8">
        <w:t>District</w:t>
      </w:r>
      <w:r w:rsidRPr="00C26717">
        <w:t xml:space="preserve">, and 1,740 dwellings in the NPA, or 3.23% of all dwellings in Chichester </w:t>
      </w:r>
      <w:r w:rsidR="005F5CF8">
        <w:t>District</w:t>
      </w:r>
      <w:r w:rsidRPr="00C26717">
        <w:t xml:space="preserve">. </w:t>
      </w:r>
    </w:p>
    <w:p w:rsidR="00654232" w:rsidRPr="00C26717" w:rsidRDefault="00654232" w:rsidP="00C26717">
      <w:pPr>
        <w:pStyle w:val="ListNumber"/>
      </w:pPr>
      <w:r w:rsidRPr="00C26717">
        <w:t xml:space="preserve">Therefore, </w:t>
      </w:r>
      <w:r w:rsidR="00970171" w:rsidRPr="00C26717">
        <w:t>14</w:t>
      </w:r>
      <w:r w:rsidRPr="00C26717">
        <w:t xml:space="preserve"> </w:t>
      </w:r>
      <w:proofErr w:type="spellStart"/>
      <w:r w:rsidRPr="00C26717">
        <w:t>d</w:t>
      </w:r>
      <w:r w:rsidR="00970171" w:rsidRPr="00C26717">
        <w:t>pa</w:t>
      </w:r>
      <w:proofErr w:type="spellEnd"/>
      <w:r w:rsidRPr="00C26717">
        <w:t xml:space="preserve"> (3.23% of 7,338) should be allocated as the ‘fair</w:t>
      </w:r>
      <w:r w:rsidR="00970171" w:rsidRPr="00C26717">
        <w:t xml:space="preserve"> share’ of the </w:t>
      </w:r>
      <w:r w:rsidR="005F5CF8">
        <w:t>District</w:t>
      </w:r>
      <w:r w:rsidR="00970171" w:rsidRPr="00C26717">
        <w:t xml:space="preserve"> target; this results in a total of 2</w:t>
      </w:r>
      <w:r w:rsidR="00F91B43" w:rsidRPr="00C26717">
        <w:t>10</w:t>
      </w:r>
      <w:r w:rsidR="00970171" w:rsidRPr="00C26717">
        <w:t xml:space="preserve"> </w:t>
      </w:r>
      <w:r w:rsidR="00520AC0" w:rsidRPr="00C26717">
        <w:t>(14</w:t>
      </w:r>
      <w:r w:rsidR="00A8285B">
        <w:t xml:space="preserve"> </w:t>
      </w:r>
      <w:r w:rsidR="00520AC0" w:rsidRPr="00C26717">
        <w:t>x</w:t>
      </w:r>
      <w:r w:rsidR="00A8285B">
        <w:t xml:space="preserve"> </w:t>
      </w:r>
      <w:r w:rsidR="00520AC0" w:rsidRPr="00C26717">
        <w:t>1</w:t>
      </w:r>
      <w:r w:rsidR="00F91B43" w:rsidRPr="00C26717">
        <w:t>5</w:t>
      </w:r>
      <w:r w:rsidR="00520AC0" w:rsidRPr="00C26717">
        <w:t xml:space="preserve">) </w:t>
      </w:r>
      <w:r w:rsidR="00970171" w:rsidRPr="00C26717">
        <w:t xml:space="preserve">dwellings over the Plan period. </w:t>
      </w:r>
    </w:p>
    <w:p w:rsidR="00520AC0" w:rsidRPr="00C26717" w:rsidRDefault="00654232" w:rsidP="00C26717">
      <w:pPr>
        <w:pStyle w:val="ListNumber"/>
      </w:pPr>
      <w:r w:rsidRPr="00C26717">
        <w:t>In arriving at a final total for West Wittering, it is important to take into consideration that 71 dwellings were built between 2012 and 201</w:t>
      </w:r>
      <w:r w:rsidR="00F91B43" w:rsidRPr="00C26717">
        <w:t>7</w:t>
      </w:r>
      <w:r w:rsidRPr="00C26717">
        <w:t xml:space="preserve"> in the NPA. Allowing for these completed dwellings, a housing target for West Wittering that is in conformity with the Chichester Local Plan would be </w:t>
      </w:r>
      <w:r w:rsidR="00520AC0" w:rsidRPr="00C26717">
        <w:t>1</w:t>
      </w:r>
      <w:r w:rsidR="00F91B43" w:rsidRPr="00C26717">
        <w:t>39</w:t>
      </w:r>
      <w:r w:rsidRPr="00C26717">
        <w:t xml:space="preserve"> dwellings (2</w:t>
      </w:r>
      <w:r w:rsidR="00F91B43" w:rsidRPr="00C26717">
        <w:t>10</w:t>
      </w:r>
      <w:r w:rsidRPr="00C26717">
        <w:t xml:space="preserve"> - 71) between 201</w:t>
      </w:r>
      <w:r w:rsidR="00F91B43" w:rsidRPr="00C26717">
        <w:t>8</w:t>
      </w:r>
      <w:r w:rsidRPr="00C26717">
        <w:t xml:space="preserve"> and 20</w:t>
      </w:r>
      <w:r w:rsidR="00520AC0" w:rsidRPr="00C26717">
        <w:t>33</w:t>
      </w:r>
      <w:r w:rsidRPr="00C26717">
        <w:t xml:space="preserve"> or 14</w:t>
      </w:r>
      <w:r w:rsidR="00D34678">
        <w:t xml:space="preserve"> </w:t>
      </w:r>
      <w:proofErr w:type="spellStart"/>
      <w:r w:rsidR="00520AC0" w:rsidRPr="00C26717">
        <w:t>dpa</w:t>
      </w:r>
      <w:proofErr w:type="spellEnd"/>
      <w:r w:rsidR="00520AC0" w:rsidRPr="00C26717">
        <w:t>.</w:t>
      </w:r>
    </w:p>
    <w:p w:rsidR="00654232" w:rsidRPr="00A76479" w:rsidRDefault="00BC30F0" w:rsidP="00C26717">
      <w:pPr>
        <w:pStyle w:val="Heading2"/>
      </w:pPr>
      <w:bookmarkStart w:id="86" w:name="_Toc504464730"/>
      <w:r>
        <w:t>SHMA</w:t>
      </w:r>
      <w:r w:rsidR="006713D2">
        <w:t xml:space="preserve"> studies</w:t>
      </w:r>
      <w:bookmarkEnd w:id="86"/>
    </w:p>
    <w:p w:rsidR="00654232" w:rsidRPr="00A76479" w:rsidRDefault="00654232" w:rsidP="00C26717">
      <w:pPr>
        <w:pStyle w:val="ListNumber"/>
      </w:pPr>
      <w:r w:rsidRPr="00A76479">
        <w:t>It is important to remember that the SHMA</w:t>
      </w:r>
      <w:r w:rsidR="006713D2">
        <w:t xml:space="preserve"> studies present</w:t>
      </w:r>
      <w:r w:rsidRPr="00A76479">
        <w:t xml:space="preserve"> a demand-side only, or ‘unconstrained’ assessment of need (often identified as Objectively Assessed Need, or OAN</w:t>
      </w:r>
      <w:r w:rsidRPr="00A76479">
        <w:rPr>
          <w:rStyle w:val="FootnoteReference"/>
          <w:rFonts w:cs="Arial"/>
          <w:sz w:val="22"/>
          <w:szCs w:val="22"/>
        </w:rPr>
        <w:footnoteReference w:id="10"/>
      </w:r>
      <w:r w:rsidRPr="00A76479">
        <w:t xml:space="preserve">), as opposed to a final housing target. The final housing target will take into account a number of other factors, including for example the availability of land, viability, infrastructure and environmental constraints and the results of consultation.  </w:t>
      </w:r>
    </w:p>
    <w:p w:rsidR="00654232" w:rsidRDefault="00654232" w:rsidP="00C26717">
      <w:pPr>
        <w:pStyle w:val="ListNumber"/>
      </w:pPr>
      <w:r w:rsidRPr="00A76479">
        <w:t xml:space="preserve">The SHMA </w:t>
      </w:r>
      <w:r w:rsidR="006713D2">
        <w:t>studies present</w:t>
      </w:r>
      <w:r w:rsidRPr="00A76479">
        <w:t xml:space="preserve"> an appropriate starting point for deriving need at the NPA level, because it is an authoritative source of evidence, and importantly, because it takes into account the latest population and household projections, as set out in the 2014 Sub-National Population Projections </w:t>
      </w:r>
      <w:r w:rsidR="0016203A">
        <w:t xml:space="preserve">(SNPP) </w:t>
      </w:r>
      <w:r w:rsidRPr="00A76479">
        <w:t>on which the Household Projections are based, which the PPG guidance suggests should be taken as a ‘starting point’ in determining need at the local authority level.</w:t>
      </w:r>
    </w:p>
    <w:p w:rsidR="00654232" w:rsidRPr="00A76479" w:rsidRDefault="00654232" w:rsidP="00C26717">
      <w:pPr>
        <w:pStyle w:val="ListNumber"/>
      </w:pPr>
      <w:r w:rsidRPr="00A76479">
        <w:t xml:space="preserve">In the case of West Wittering, the </w:t>
      </w:r>
      <w:r w:rsidRPr="00A76479">
        <w:rPr>
          <w:u w:val="single"/>
        </w:rPr>
        <w:t>Analysis of Objectively Assessed Housing Need in light of 2012-based Sub</w:t>
      </w:r>
      <w:r w:rsidR="00D34678">
        <w:rPr>
          <w:u w:val="single"/>
        </w:rPr>
        <w:t>-</w:t>
      </w:r>
      <w:r w:rsidRPr="00A76479">
        <w:rPr>
          <w:u w:val="single"/>
        </w:rPr>
        <w:t>national Population Projections</w:t>
      </w:r>
      <w:r w:rsidRPr="00A76479">
        <w:t xml:space="preserve"> has been prepared to update the findings of the </w:t>
      </w:r>
      <w:r w:rsidRPr="00A76479">
        <w:rPr>
          <w:u w:val="single"/>
        </w:rPr>
        <w:t>Assessment of Housing Development Need Study: Sussex Coast HMA</w:t>
      </w:r>
      <w:r w:rsidRPr="00A76479">
        <w:t xml:space="preserve"> relating to Chichester </w:t>
      </w:r>
      <w:r w:rsidR="005F5CF8">
        <w:t>District</w:t>
      </w:r>
      <w:r w:rsidRPr="00A76479">
        <w:t xml:space="preserve">, to reflect the release of new 2012-based </w:t>
      </w:r>
      <w:r w:rsidR="0016203A">
        <w:t>SNPP</w:t>
      </w:r>
      <w:r w:rsidRPr="00A76479">
        <w:t xml:space="preserve"> by the Office for National Statistics (ONS) in May 2014. It sets out revised findings regarding the OAN for housing in Chichester </w:t>
      </w:r>
      <w:r w:rsidR="005F5CF8">
        <w:t>District</w:t>
      </w:r>
      <w:r w:rsidRPr="00A76479">
        <w:t xml:space="preserve"> to 2029.</w:t>
      </w:r>
    </w:p>
    <w:p w:rsidR="00654232" w:rsidRPr="00A76479" w:rsidRDefault="00654232" w:rsidP="00C26717">
      <w:pPr>
        <w:pStyle w:val="ListNumber"/>
      </w:pPr>
      <w:r w:rsidRPr="00A76479">
        <w:lastRenderedPageBreak/>
        <w:t>The 201</w:t>
      </w:r>
      <w:r w:rsidR="00481B5F">
        <w:t xml:space="preserve">4 </w:t>
      </w:r>
      <w:r w:rsidRPr="00A76479">
        <w:t xml:space="preserve">version identifies an OAN for </w:t>
      </w:r>
      <w:r w:rsidRPr="00A76479">
        <w:rPr>
          <w:color w:val="000000" w:themeColor="text1"/>
        </w:rPr>
        <w:t xml:space="preserve">Chichester </w:t>
      </w:r>
      <w:r w:rsidR="005F5CF8">
        <w:rPr>
          <w:color w:val="000000" w:themeColor="text1"/>
        </w:rPr>
        <w:t>District</w:t>
      </w:r>
      <w:r w:rsidRPr="00A76479">
        <w:rPr>
          <w:color w:val="000000" w:themeColor="text1"/>
        </w:rPr>
        <w:t xml:space="preserve"> </w:t>
      </w:r>
      <w:r w:rsidRPr="00A76479">
        <w:t xml:space="preserve">over the period 2013 - 29 of </w:t>
      </w:r>
      <w:r w:rsidR="00481B5F" w:rsidRPr="00481B5F">
        <w:t>560</w:t>
      </w:r>
      <w:r w:rsidR="00481B5F">
        <w:t xml:space="preserve"> </w:t>
      </w:r>
      <w:r w:rsidR="00481B5F" w:rsidRPr="00481B5F">
        <w:t>-</w:t>
      </w:r>
      <w:r w:rsidR="00481B5F">
        <w:t xml:space="preserve"> </w:t>
      </w:r>
      <w:r w:rsidR="00481B5F" w:rsidRPr="00481B5F">
        <w:t xml:space="preserve">575 </w:t>
      </w:r>
      <w:proofErr w:type="spellStart"/>
      <w:r w:rsidR="00481B5F" w:rsidRPr="00481B5F">
        <w:t>dpa</w:t>
      </w:r>
      <w:proofErr w:type="spellEnd"/>
      <w:r w:rsidR="005E1673">
        <w:t>.</w:t>
      </w:r>
      <w:r w:rsidR="00481B5F">
        <w:rPr>
          <w:rStyle w:val="FootnoteReference"/>
          <w:rFonts w:cs="Arial"/>
          <w:sz w:val="22"/>
          <w:szCs w:val="22"/>
        </w:rPr>
        <w:footnoteReference w:id="11"/>
      </w:r>
      <w:r w:rsidR="00481B5F">
        <w:t xml:space="preserve"> For the purposes of this HNA, we have taken a mid-point in this </w:t>
      </w:r>
      <w:r w:rsidR="005E1673">
        <w:t>range</w:t>
      </w:r>
      <w:r w:rsidR="00481B5F">
        <w:t xml:space="preserve"> of 568 </w:t>
      </w:r>
      <w:proofErr w:type="spellStart"/>
      <w:r w:rsidR="00481B5F">
        <w:t>dpa</w:t>
      </w:r>
      <w:proofErr w:type="spellEnd"/>
      <w:r w:rsidR="00481B5F">
        <w:t xml:space="preserve">. </w:t>
      </w:r>
    </w:p>
    <w:p w:rsidR="00481B5F" w:rsidRDefault="00654232" w:rsidP="00C26717">
      <w:pPr>
        <w:pStyle w:val="ListNumber"/>
      </w:pPr>
      <w:r w:rsidRPr="00481B5F">
        <w:t xml:space="preserve">To calculate the NPA’s ‘fair share’ of this target, it is again possible to use the NPA’s proportion of dwellings in the </w:t>
      </w:r>
      <w:r w:rsidR="005F5CF8">
        <w:t>District</w:t>
      </w:r>
      <w:r w:rsidR="005E1673" w:rsidRPr="00481B5F">
        <w:t xml:space="preserve"> </w:t>
      </w:r>
      <w:r w:rsidRPr="00481B5F">
        <w:t xml:space="preserve">(3.23%). This produces a figure of </w:t>
      </w:r>
      <w:r w:rsidR="00481B5F" w:rsidRPr="00481B5F">
        <w:t>18</w:t>
      </w:r>
      <w:r w:rsidR="00481B5F">
        <w:t>.35</w:t>
      </w:r>
      <w:r w:rsidRPr="00481B5F">
        <w:t xml:space="preserve"> </w:t>
      </w:r>
      <w:proofErr w:type="spellStart"/>
      <w:r w:rsidR="00481B5F" w:rsidRPr="00481B5F">
        <w:t>dpa</w:t>
      </w:r>
      <w:proofErr w:type="spellEnd"/>
      <w:r w:rsidR="00481B5F">
        <w:t>.</w:t>
      </w:r>
      <w:r w:rsidRPr="00A76479">
        <w:t xml:space="preserve"> </w:t>
      </w:r>
      <w:r w:rsidR="00481B5F">
        <w:t>Given the proposed Plan period of 201</w:t>
      </w:r>
      <w:r w:rsidR="00F91B43">
        <w:t>8</w:t>
      </w:r>
      <w:r w:rsidR="00481B5F">
        <w:t xml:space="preserve"> – 2033 (1</w:t>
      </w:r>
      <w:r w:rsidR="00F91B43">
        <w:t>5</w:t>
      </w:r>
      <w:r w:rsidR="00481B5F">
        <w:t xml:space="preserve"> years), this results in a housing needs figure for West Wittering of 2</w:t>
      </w:r>
      <w:r w:rsidR="007710AF">
        <w:t>75</w:t>
      </w:r>
      <w:r w:rsidR="00481B5F">
        <w:t xml:space="preserve"> dwellings.</w:t>
      </w:r>
    </w:p>
    <w:p w:rsidR="00654232" w:rsidRPr="00A76479" w:rsidRDefault="00481B5F" w:rsidP="00C26717">
      <w:pPr>
        <w:pStyle w:val="ListNumber"/>
      </w:pPr>
      <w:r>
        <w:t>However,</w:t>
      </w:r>
      <w:r w:rsidR="00654232" w:rsidRPr="00A76479">
        <w:t xml:space="preserve"> it is necessary to take </w:t>
      </w:r>
      <w:r w:rsidR="00654232" w:rsidRPr="00F91B43">
        <w:t>into consideration dwellings built in the NPA in recent years. Since 2011, as set out above, 71 dwellings</w:t>
      </w:r>
      <w:r w:rsidR="00654232" w:rsidRPr="00A76479">
        <w:t xml:space="preserve"> have been built;</w:t>
      </w:r>
      <w:r w:rsidR="005E1673">
        <w:t xml:space="preserve"> this leads to</w:t>
      </w:r>
      <w:r w:rsidR="00654232" w:rsidRPr="00A76479">
        <w:t xml:space="preserve"> a final target of </w:t>
      </w:r>
      <w:r w:rsidR="00F91B43">
        <w:rPr>
          <w:b/>
        </w:rPr>
        <w:t>2</w:t>
      </w:r>
      <w:r w:rsidR="007710AF">
        <w:rPr>
          <w:b/>
        </w:rPr>
        <w:t>04</w:t>
      </w:r>
      <w:r w:rsidR="00654232" w:rsidRPr="00A76479">
        <w:t xml:space="preserve"> </w:t>
      </w:r>
      <w:r w:rsidR="00F91B43">
        <w:t xml:space="preserve">dwellings over the Plan period. </w:t>
      </w:r>
    </w:p>
    <w:p w:rsidR="00654232" w:rsidRPr="00A76479" w:rsidRDefault="00B25544" w:rsidP="00C26717">
      <w:pPr>
        <w:pStyle w:val="Heading2"/>
      </w:pPr>
      <w:bookmarkStart w:id="87" w:name="_Toc504464731"/>
      <w:r>
        <w:t>MHCLG</w:t>
      </w:r>
      <w:r w:rsidR="00654232" w:rsidRPr="00A76479">
        <w:t xml:space="preserve"> </w:t>
      </w:r>
      <w:r w:rsidR="008762FC">
        <w:t>h</w:t>
      </w:r>
      <w:r w:rsidR="00654232" w:rsidRPr="00A76479">
        <w:t xml:space="preserve">ousehold </w:t>
      </w:r>
      <w:r w:rsidR="008762FC">
        <w:t>p</w:t>
      </w:r>
      <w:r w:rsidR="00654232" w:rsidRPr="00A76479">
        <w:t>rojections</w:t>
      </w:r>
      <w:bookmarkEnd w:id="87"/>
    </w:p>
    <w:p w:rsidR="00654232" w:rsidRPr="00A76479" w:rsidRDefault="00B25544" w:rsidP="00C26717">
      <w:pPr>
        <w:pStyle w:val="ListNumber"/>
      </w:pPr>
      <w:r>
        <w:t>MHCLG</w:t>
      </w:r>
      <w:r w:rsidR="00654232" w:rsidRPr="00A76479">
        <w:t xml:space="preserve"> periodically publishes household projections. The PPG recommends that these household projections should form the starting point for the assessment of housing need. </w:t>
      </w:r>
    </w:p>
    <w:p w:rsidR="00654232" w:rsidRPr="00A76479" w:rsidRDefault="00654232" w:rsidP="00C26717">
      <w:pPr>
        <w:pStyle w:val="ListNumber"/>
      </w:pPr>
      <w:r w:rsidRPr="00A76479">
        <w:t>The most recent (2014-based) household projections were published in July 2016</w:t>
      </w:r>
      <w:r w:rsidRPr="00A76479">
        <w:rPr>
          <w:vertAlign w:val="superscript"/>
        </w:rPr>
        <w:footnoteReference w:id="12"/>
      </w:r>
      <w:r w:rsidRPr="00A76479">
        <w:t xml:space="preserve">, and extend to 2039. Although population projections are only available at a local authority level, a calculation of the share for the NPA is nevertheless possible for the household projections based on the NPA’s household numbers in the 2011 Census. </w:t>
      </w:r>
    </w:p>
    <w:p w:rsidR="00654232" w:rsidRPr="00A76479" w:rsidRDefault="00654232" w:rsidP="00C26717">
      <w:pPr>
        <w:pStyle w:val="ListNumber"/>
      </w:pPr>
      <w:r w:rsidRPr="00A76479">
        <w:t xml:space="preserve">At the 2011 Census, </w:t>
      </w:r>
      <w:r w:rsidRPr="00A76479">
        <w:rPr>
          <w:color w:val="000000" w:themeColor="text1"/>
        </w:rPr>
        <w:t xml:space="preserve">Chichester </w:t>
      </w:r>
      <w:r w:rsidR="005F5CF8">
        <w:rPr>
          <w:color w:val="000000" w:themeColor="text1"/>
        </w:rPr>
        <w:t>District</w:t>
      </w:r>
      <w:r w:rsidRPr="00A76479">
        <w:rPr>
          <w:color w:val="000000" w:themeColor="text1"/>
        </w:rPr>
        <w:t xml:space="preserve"> </w:t>
      </w:r>
      <w:r w:rsidRPr="00A76479">
        <w:t xml:space="preserve">had </w:t>
      </w:r>
      <w:r w:rsidRPr="00A76479">
        <w:rPr>
          <w:b/>
        </w:rPr>
        <w:t xml:space="preserve">49,848 </w:t>
      </w:r>
      <w:r w:rsidRPr="00A76479">
        <w:t xml:space="preserve">households and the NPA </w:t>
      </w:r>
      <w:r w:rsidRPr="00A76479">
        <w:rPr>
          <w:b/>
        </w:rPr>
        <w:t>1,352</w:t>
      </w:r>
      <w:r w:rsidRPr="00A76479">
        <w:t xml:space="preserve"> households, or </w:t>
      </w:r>
      <w:r w:rsidRPr="00A76479">
        <w:rPr>
          <w:b/>
        </w:rPr>
        <w:t>2.71</w:t>
      </w:r>
      <w:r w:rsidRPr="00A76479">
        <w:t>% of the total (rounded).</w:t>
      </w:r>
    </w:p>
    <w:p w:rsidR="00654232" w:rsidRPr="00A76479" w:rsidRDefault="00654232" w:rsidP="00C26717">
      <w:pPr>
        <w:pStyle w:val="ListNumber"/>
      </w:pPr>
      <w:r w:rsidRPr="00A76479">
        <w:t xml:space="preserve">In the 2014-based household projections, the projection for 2029 is </w:t>
      </w:r>
      <w:r w:rsidRPr="00A76479">
        <w:rPr>
          <w:b/>
        </w:rPr>
        <w:t xml:space="preserve">58,625 </w:t>
      </w:r>
      <w:r w:rsidRPr="00A76479">
        <w:t xml:space="preserve">households in </w:t>
      </w:r>
      <w:r w:rsidRPr="00A76479">
        <w:rPr>
          <w:color w:val="000000" w:themeColor="text1"/>
        </w:rPr>
        <w:t xml:space="preserve">Chichester </w:t>
      </w:r>
      <w:r w:rsidR="005F5CF8">
        <w:rPr>
          <w:color w:val="000000" w:themeColor="text1"/>
        </w:rPr>
        <w:t>District</w:t>
      </w:r>
      <w:r w:rsidRPr="00A76479">
        <w:rPr>
          <w:color w:val="000000" w:themeColor="text1"/>
        </w:rPr>
        <w:t xml:space="preserve"> or an additional </w:t>
      </w:r>
      <w:r w:rsidRPr="00A76479">
        <w:rPr>
          <w:b/>
          <w:color w:val="000000" w:themeColor="text1"/>
        </w:rPr>
        <w:t>4,812</w:t>
      </w:r>
      <w:r w:rsidRPr="00A76479">
        <w:rPr>
          <w:color w:val="000000" w:themeColor="text1"/>
        </w:rPr>
        <w:t xml:space="preserve"> households</w:t>
      </w:r>
      <w:r w:rsidRPr="00A76479">
        <w:t xml:space="preserve">. Assuming it continues to form 2.71% of the </w:t>
      </w:r>
      <w:r w:rsidR="005F5CF8">
        <w:t>District</w:t>
      </w:r>
      <w:r w:rsidRPr="00A76479">
        <w:t xml:space="preserve"> total, the NPA’s total number of households in 2029 would be </w:t>
      </w:r>
      <w:r w:rsidRPr="00A76479">
        <w:rPr>
          <w:b/>
        </w:rPr>
        <w:t xml:space="preserve">1,590 </w:t>
      </w:r>
      <w:r w:rsidRPr="00A76479">
        <w:t xml:space="preserve">(rounded); therefore </w:t>
      </w:r>
      <w:r w:rsidRPr="00A76479">
        <w:rPr>
          <w:b/>
        </w:rPr>
        <w:t>238</w:t>
      </w:r>
      <w:r w:rsidRPr="00A76479">
        <w:t xml:space="preserve"> new households will form in the NPA between 2011 and 2029 (or a rate of growth of </w:t>
      </w:r>
      <w:r w:rsidRPr="00A76479">
        <w:rPr>
          <w:b/>
        </w:rPr>
        <w:t>13</w:t>
      </w:r>
      <w:r w:rsidRPr="00A76479">
        <w:t xml:space="preserve"> households per year). </w:t>
      </w:r>
    </w:p>
    <w:p w:rsidR="00654232" w:rsidRPr="00A76479" w:rsidRDefault="00654232" w:rsidP="00C26717">
      <w:pPr>
        <w:pStyle w:val="ListNumber"/>
      </w:pPr>
      <w:r w:rsidRPr="00A76479">
        <w:t xml:space="preserve">Number of households does not, however, equate precisely to number of dwellings, with the latter slightly higher in most places. The NPA is no exception; in the 2011 Census, there were </w:t>
      </w:r>
      <w:r w:rsidRPr="00A76479">
        <w:rPr>
          <w:b/>
        </w:rPr>
        <w:t>1,352</w:t>
      </w:r>
      <w:r w:rsidRPr="00A76479">
        <w:t xml:space="preserve"> households but </w:t>
      </w:r>
      <w:r w:rsidRPr="00A76479">
        <w:rPr>
          <w:b/>
        </w:rPr>
        <w:t>1,740</w:t>
      </w:r>
      <w:r w:rsidRPr="00A76479">
        <w:t xml:space="preserve"> dwellings. This gives a ratio of </w:t>
      </w:r>
      <w:r w:rsidRPr="00A76479">
        <w:rPr>
          <w:b/>
        </w:rPr>
        <w:t>0.78</w:t>
      </w:r>
      <w:r w:rsidRPr="00A76479">
        <w:t xml:space="preserve"> households per dwelling. In the case of NPA, then, a projection of </w:t>
      </w:r>
      <w:r w:rsidRPr="00A76479">
        <w:rPr>
          <w:b/>
        </w:rPr>
        <w:t>238</w:t>
      </w:r>
      <w:r w:rsidRPr="00A76479">
        <w:t xml:space="preserve"> new households (between 2011 and 2029) translates into a need for </w:t>
      </w:r>
      <w:r w:rsidRPr="00A76479">
        <w:rPr>
          <w:b/>
        </w:rPr>
        <w:t xml:space="preserve">306 </w:t>
      </w:r>
      <w:r w:rsidRPr="00A76479">
        <w:t>dwellings (rounded to the nearest whole number).</w:t>
      </w:r>
    </w:p>
    <w:p w:rsidR="00654232" w:rsidRPr="00C26717" w:rsidRDefault="00654232" w:rsidP="00C26717">
      <w:pPr>
        <w:pStyle w:val="ListNumber"/>
        <w:rPr>
          <w:rFonts w:ascii="Arial" w:hAnsi="Arial"/>
          <w:color w:val="000000" w:themeColor="text1"/>
        </w:rPr>
      </w:pPr>
      <w:r w:rsidRPr="00A76479">
        <w:rPr>
          <w:rFonts w:ascii="Arial" w:hAnsi="Arial"/>
          <w:color w:val="000000" w:themeColor="text1"/>
        </w:rPr>
        <w:t xml:space="preserve">These figures are based on the assumption that 2014-based government projections as to household growth at the </w:t>
      </w:r>
      <w:r w:rsidR="00435EAC">
        <w:rPr>
          <w:rFonts w:ascii="Arial" w:hAnsi="Arial"/>
          <w:color w:val="000000" w:themeColor="text1"/>
        </w:rPr>
        <w:t xml:space="preserve">LPA </w:t>
      </w:r>
      <w:r w:rsidRPr="00A76479">
        <w:rPr>
          <w:rFonts w:ascii="Arial" w:hAnsi="Arial"/>
          <w:color w:val="000000" w:themeColor="text1"/>
        </w:rPr>
        <w:t>level are accurate</w:t>
      </w:r>
      <w:r w:rsidRPr="00A76479">
        <w:rPr>
          <w:rFonts w:ascii="Arial" w:hAnsi="Arial"/>
        </w:rPr>
        <w:t xml:space="preserve">. </w:t>
      </w:r>
      <w:r w:rsidRPr="00A76479">
        <w:rPr>
          <w:rFonts w:ascii="Arial" w:hAnsi="Arial"/>
          <w:color w:val="000000" w:themeColor="text1"/>
        </w:rPr>
        <w:t>As the annual mid-year population estimates have now been released for 201</w:t>
      </w:r>
      <w:bookmarkStart w:id="88" w:name="_GoBack"/>
      <w:bookmarkEnd w:id="88"/>
      <w:r w:rsidR="002B2BD7">
        <w:rPr>
          <w:rFonts w:ascii="Arial" w:hAnsi="Arial"/>
          <w:color w:val="000000" w:themeColor="text1"/>
        </w:rPr>
        <w:t>6</w:t>
      </w:r>
      <w:r w:rsidRPr="00A76479">
        <w:rPr>
          <w:rFonts w:ascii="Arial" w:hAnsi="Arial"/>
          <w:color w:val="000000" w:themeColor="text1"/>
        </w:rPr>
        <w:t>, the 2014-based household projections may need to be ‘rebased’ for accuracy. The mid-2016 population estimates give the actual number of people in the L</w:t>
      </w:r>
      <w:r w:rsidR="00435EAC">
        <w:rPr>
          <w:rFonts w:ascii="Arial" w:hAnsi="Arial"/>
          <w:color w:val="000000" w:themeColor="text1"/>
        </w:rPr>
        <w:t>P</w:t>
      </w:r>
      <w:r w:rsidRPr="00A76479">
        <w:rPr>
          <w:rFonts w:ascii="Arial" w:hAnsi="Arial"/>
          <w:color w:val="000000" w:themeColor="text1"/>
        </w:rPr>
        <w:t xml:space="preserve">A at that point, meaning the difference between the estimated and the previously projected number of households can to be taken into </w:t>
      </w:r>
      <w:r w:rsidR="00C26717">
        <w:rPr>
          <w:rFonts w:ascii="Arial" w:hAnsi="Arial"/>
          <w:color w:val="000000" w:themeColor="text1"/>
        </w:rPr>
        <w:t xml:space="preserve">account in future projections. </w:t>
      </w:r>
    </w:p>
    <w:p w:rsidR="00654232" w:rsidRPr="00C26717" w:rsidRDefault="00654232" w:rsidP="00C26717">
      <w:pPr>
        <w:pStyle w:val="ListNumber"/>
        <w:rPr>
          <w:rFonts w:ascii="Arial" w:hAnsi="Arial"/>
          <w:color w:val="000000" w:themeColor="text1"/>
        </w:rPr>
      </w:pPr>
      <w:r w:rsidRPr="00A76479">
        <w:rPr>
          <w:rFonts w:ascii="Arial" w:hAnsi="Arial"/>
          <w:color w:val="000000" w:themeColor="text1"/>
        </w:rPr>
        <w:t xml:space="preserve">The 2014-based household projections were based on the 2014-based </w:t>
      </w:r>
      <w:r w:rsidR="00E63D4C">
        <w:rPr>
          <w:rFonts w:ascii="Arial" w:hAnsi="Arial"/>
          <w:color w:val="000000" w:themeColor="text1"/>
        </w:rPr>
        <w:t>SNPP</w:t>
      </w:r>
      <w:r w:rsidRPr="00A76479">
        <w:rPr>
          <w:rFonts w:ascii="Arial" w:hAnsi="Arial"/>
          <w:color w:val="000000" w:themeColor="text1"/>
        </w:rPr>
        <w:t xml:space="preserve">, which estimated that by 2016 there would be </w:t>
      </w:r>
      <w:r w:rsidRPr="00A76479">
        <w:rPr>
          <w:rFonts w:ascii="Arial" w:hAnsi="Arial"/>
          <w:b/>
          <w:color w:val="000000" w:themeColor="text1"/>
        </w:rPr>
        <w:t>117,259</w:t>
      </w:r>
      <w:r w:rsidRPr="00A76479">
        <w:rPr>
          <w:rFonts w:ascii="Arial" w:hAnsi="Arial"/>
          <w:color w:val="000000" w:themeColor="text1"/>
        </w:rPr>
        <w:t xml:space="preserve"> people in Chichester. The mid-2016 </w:t>
      </w:r>
      <w:r w:rsidR="00E63D4C">
        <w:rPr>
          <w:rFonts w:ascii="Arial" w:hAnsi="Arial"/>
          <w:color w:val="000000" w:themeColor="text1"/>
        </w:rPr>
        <w:t>e</w:t>
      </w:r>
      <w:r w:rsidRPr="00A76479">
        <w:rPr>
          <w:rFonts w:ascii="Arial" w:hAnsi="Arial"/>
          <w:color w:val="000000" w:themeColor="text1"/>
        </w:rPr>
        <w:t>stimates show that</w:t>
      </w:r>
      <w:r w:rsidR="00E63D4C">
        <w:rPr>
          <w:rFonts w:ascii="Arial" w:hAnsi="Arial"/>
          <w:color w:val="000000" w:themeColor="text1"/>
        </w:rPr>
        <w:t>,</w:t>
      </w:r>
      <w:r w:rsidRPr="00A76479">
        <w:rPr>
          <w:rFonts w:ascii="Arial" w:hAnsi="Arial"/>
          <w:color w:val="000000" w:themeColor="text1"/>
        </w:rPr>
        <w:t xml:space="preserve"> based on the latest information</w:t>
      </w:r>
      <w:r w:rsidR="00E63D4C">
        <w:rPr>
          <w:rFonts w:ascii="Arial" w:hAnsi="Arial"/>
          <w:color w:val="000000" w:themeColor="text1"/>
        </w:rPr>
        <w:t>,</w:t>
      </w:r>
      <w:r w:rsidRPr="00A76479">
        <w:rPr>
          <w:rFonts w:ascii="Arial" w:hAnsi="Arial"/>
          <w:color w:val="000000" w:themeColor="text1"/>
        </w:rPr>
        <w:t xml:space="preserve"> there were estimated to be </w:t>
      </w:r>
      <w:r w:rsidRPr="00A76479">
        <w:rPr>
          <w:rFonts w:ascii="Arial" w:hAnsi="Arial"/>
          <w:b/>
          <w:color w:val="000000" w:themeColor="text1"/>
        </w:rPr>
        <w:t>118,175</w:t>
      </w:r>
      <w:r w:rsidRPr="00A76479">
        <w:rPr>
          <w:rFonts w:ascii="Arial" w:hAnsi="Arial"/>
          <w:color w:val="000000" w:themeColor="text1"/>
        </w:rPr>
        <w:t xml:space="preserve"> people, which is higher than the projections by </w:t>
      </w:r>
      <w:r w:rsidRPr="00A76479">
        <w:rPr>
          <w:rFonts w:ascii="Arial" w:hAnsi="Arial"/>
          <w:b/>
          <w:color w:val="000000" w:themeColor="text1"/>
        </w:rPr>
        <w:t>916</w:t>
      </w:r>
      <w:r w:rsidRPr="00A76479">
        <w:rPr>
          <w:rFonts w:ascii="Arial" w:hAnsi="Arial"/>
          <w:color w:val="000000" w:themeColor="text1"/>
        </w:rPr>
        <w:t xml:space="preserve"> people. Assuming average household sizes remain constant (in 2011 there were an average of </w:t>
      </w:r>
      <w:r w:rsidRPr="00A76479">
        <w:rPr>
          <w:rFonts w:ascii="Arial" w:hAnsi="Arial"/>
          <w:b/>
          <w:color w:val="000000" w:themeColor="text1"/>
        </w:rPr>
        <w:t>2.28</w:t>
      </w:r>
      <w:r w:rsidRPr="00A76479">
        <w:rPr>
          <w:rFonts w:ascii="Arial" w:hAnsi="Arial"/>
          <w:color w:val="000000" w:themeColor="text1"/>
        </w:rPr>
        <w:t xml:space="preserve"> people per household, obtained by dividing population by number of households) this equates to </w:t>
      </w:r>
      <w:r w:rsidRPr="00A76479">
        <w:rPr>
          <w:rFonts w:ascii="Arial" w:hAnsi="Arial"/>
          <w:b/>
          <w:color w:val="000000" w:themeColor="text1"/>
        </w:rPr>
        <w:t>401</w:t>
      </w:r>
      <w:r w:rsidRPr="00A76479">
        <w:rPr>
          <w:rFonts w:ascii="Arial" w:hAnsi="Arial"/>
          <w:color w:val="000000" w:themeColor="text1"/>
        </w:rPr>
        <w:t xml:space="preserve"> additional </w:t>
      </w:r>
      <w:r w:rsidR="00C26717">
        <w:rPr>
          <w:rFonts w:ascii="Arial" w:hAnsi="Arial"/>
          <w:color w:val="000000" w:themeColor="text1"/>
        </w:rPr>
        <w:t xml:space="preserve">households across Chichester.  </w:t>
      </w:r>
    </w:p>
    <w:p w:rsidR="00654232" w:rsidRPr="00C26717" w:rsidRDefault="00654232" w:rsidP="00C26717">
      <w:pPr>
        <w:pStyle w:val="ListNumber"/>
        <w:rPr>
          <w:rFonts w:ascii="Arial" w:hAnsi="Arial"/>
          <w:color w:val="000000" w:themeColor="text1"/>
        </w:rPr>
      </w:pPr>
      <w:r w:rsidRPr="00A76479">
        <w:rPr>
          <w:rFonts w:ascii="Arial" w:hAnsi="Arial"/>
          <w:color w:val="000000" w:themeColor="text1"/>
        </w:rPr>
        <w:t xml:space="preserve">Taking </w:t>
      </w:r>
      <w:r w:rsidRPr="00A76479">
        <w:rPr>
          <w:rFonts w:ascii="Arial" w:hAnsi="Arial"/>
          <w:b/>
          <w:color w:val="000000" w:themeColor="text1"/>
        </w:rPr>
        <w:t>59,026</w:t>
      </w:r>
      <w:r w:rsidRPr="00A76479">
        <w:rPr>
          <w:rFonts w:ascii="Arial" w:hAnsi="Arial"/>
          <w:color w:val="000000" w:themeColor="text1"/>
        </w:rPr>
        <w:t xml:space="preserve"> (58,625 + 401) as our revised household number at 2029, and assuming it continues to form 2.71% of the </w:t>
      </w:r>
      <w:r w:rsidR="005F5CF8">
        <w:rPr>
          <w:rFonts w:ascii="Arial" w:hAnsi="Arial"/>
          <w:color w:val="000000" w:themeColor="text1"/>
        </w:rPr>
        <w:t>District</w:t>
      </w:r>
      <w:r w:rsidRPr="00A76479">
        <w:rPr>
          <w:rFonts w:ascii="Arial" w:hAnsi="Arial"/>
          <w:color w:val="000000" w:themeColor="text1"/>
        </w:rPr>
        <w:t xml:space="preserve"> total, the NPA’s total number of households in 2029 would be </w:t>
      </w:r>
      <w:r w:rsidRPr="00A76479">
        <w:rPr>
          <w:rFonts w:ascii="Arial" w:hAnsi="Arial"/>
          <w:b/>
          <w:color w:val="000000" w:themeColor="text1"/>
        </w:rPr>
        <w:t>1,601</w:t>
      </w:r>
      <w:r w:rsidRPr="00A76479">
        <w:rPr>
          <w:rFonts w:ascii="Arial" w:hAnsi="Arial"/>
          <w:color w:val="000000" w:themeColor="text1"/>
        </w:rPr>
        <w:t xml:space="preserve"> (rounded), producing a revised growth in the number of households between 2011 and 2029 of </w:t>
      </w:r>
      <w:r w:rsidRPr="00A76479">
        <w:rPr>
          <w:rFonts w:ascii="Arial" w:hAnsi="Arial"/>
          <w:b/>
          <w:color w:val="000000" w:themeColor="text1"/>
        </w:rPr>
        <w:t>249</w:t>
      </w:r>
      <w:r w:rsidRPr="00A76479">
        <w:rPr>
          <w:rFonts w:ascii="Arial" w:hAnsi="Arial"/>
          <w:color w:val="000000" w:themeColor="text1"/>
        </w:rPr>
        <w:t>, 11 more than in the 2014-based household projections.</w:t>
      </w:r>
    </w:p>
    <w:p w:rsidR="00654232" w:rsidRPr="00C26717" w:rsidRDefault="00654232" w:rsidP="00C26717">
      <w:pPr>
        <w:pStyle w:val="ListNumber"/>
        <w:rPr>
          <w:rFonts w:ascii="Arial" w:hAnsi="Arial"/>
          <w:color w:val="000000" w:themeColor="text1"/>
        </w:rPr>
      </w:pPr>
      <w:r w:rsidRPr="00A76479">
        <w:rPr>
          <w:rFonts w:ascii="Arial" w:hAnsi="Arial"/>
          <w:color w:val="000000" w:themeColor="text1"/>
        </w:rPr>
        <w:t xml:space="preserve">Taking into account the disparity between household numbers and dwelling numbers, a projection of 249 new households between 2011 and 2029 translates into a need for </w:t>
      </w:r>
      <w:r>
        <w:rPr>
          <w:rFonts w:ascii="Arial" w:hAnsi="Arial"/>
          <w:b/>
          <w:color w:val="000000" w:themeColor="text1"/>
        </w:rPr>
        <w:t>320</w:t>
      </w:r>
      <w:r w:rsidRPr="00A76479">
        <w:rPr>
          <w:rFonts w:ascii="Arial" w:hAnsi="Arial"/>
          <w:color w:val="000000" w:themeColor="text1"/>
        </w:rPr>
        <w:t xml:space="preserve"> dwellings. Netting off the 71 dwellings completed since 2011, we arrive at a re-based household projections-derived dwelling</w:t>
      </w:r>
      <w:r w:rsidR="00E63D4C">
        <w:rPr>
          <w:rFonts w:ascii="Arial" w:hAnsi="Arial"/>
          <w:color w:val="000000" w:themeColor="text1"/>
        </w:rPr>
        <w:t xml:space="preserve"> requirement</w:t>
      </w:r>
      <w:r w:rsidRPr="00A76479">
        <w:rPr>
          <w:rFonts w:ascii="Arial" w:hAnsi="Arial"/>
          <w:color w:val="000000" w:themeColor="text1"/>
        </w:rPr>
        <w:t xml:space="preserve"> of </w:t>
      </w:r>
      <w:r>
        <w:rPr>
          <w:rFonts w:ascii="Arial" w:hAnsi="Arial"/>
          <w:b/>
          <w:color w:val="000000" w:themeColor="text1"/>
        </w:rPr>
        <w:t>249</w:t>
      </w:r>
      <w:r w:rsidRPr="00A76479">
        <w:rPr>
          <w:rFonts w:ascii="Arial" w:hAnsi="Arial"/>
          <w:color w:val="000000" w:themeColor="text1"/>
        </w:rPr>
        <w:t xml:space="preserve"> dwellings (rounded) over the </w:t>
      </w:r>
      <w:r w:rsidR="000375DA">
        <w:rPr>
          <w:rFonts w:ascii="Arial" w:hAnsi="Arial"/>
          <w:color w:val="000000" w:themeColor="text1"/>
        </w:rPr>
        <w:t>Plan period</w:t>
      </w:r>
      <w:r w:rsidRPr="00A76479">
        <w:rPr>
          <w:rFonts w:ascii="Arial" w:hAnsi="Arial"/>
          <w:color w:val="000000" w:themeColor="text1"/>
        </w:rPr>
        <w:t xml:space="preserve"> or </w:t>
      </w:r>
      <w:r>
        <w:rPr>
          <w:rFonts w:ascii="Arial" w:hAnsi="Arial"/>
          <w:b/>
          <w:color w:val="000000" w:themeColor="text1"/>
        </w:rPr>
        <w:t>21</w:t>
      </w:r>
      <w:r w:rsidR="00C26717">
        <w:rPr>
          <w:rFonts w:ascii="Arial" w:hAnsi="Arial"/>
          <w:color w:val="000000" w:themeColor="text1"/>
        </w:rPr>
        <w:t xml:space="preserve"> dwellings per annum.</w:t>
      </w:r>
    </w:p>
    <w:p w:rsidR="00654232" w:rsidRPr="00A76479" w:rsidRDefault="00654232" w:rsidP="00C26717">
      <w:pPr>
        <w:pStyle w:val="ListNumber"/>
      </w:pPr>
      <w:r w:rsidRPr="00A76479">
        <w:t xml:space="preserve">This projection is an entirely unconstrained, theoretical figure comprising a relative proportion of the overall projected increase, and thus does not take into account political, economic, demographic or any other drivers that might have influenced, or may in future influence, the Local Plan distribution across the </w:t>
      </w:r>
      <w:r w:rsidR="005F5CF8">
        <w:t>District</w:t>
      </w:r>
      <w:r w:rsidRPr="00A76479">
        <w:t xml:space="preserve"> and hence any difference between this figure and a future Local Plan-derived figure.</w:t>
      </w:r>
    </w:p>
    <w:p w:rsidR="00654232" w:rsidRPr="00A76479" w:rsidRDefault="00654232" w:rsidP="00C26717">
      <w:pPr>
        <w:pStyle w:val="Heading2"/>
      </w:pPr>
      <w:bookmarkStart w:id="89" w:name="_Toc504464732"/>
      <w:r w:rsidRPr="00A76479">
        <w:lastRenderedPageBreak/>
        <w:t>Dwelling growth 2001 – 2011</w:t>
      </w:r>
      <w:bookmarkEnd w:id="89"/>
    </w:p>
    <w:p w:rsidR="00654232" w:rsidRPr="00F91B43" w:rsidRDefault="00654232" w:rsidP="00C26717">
      <w:pPr>
        <w:pStyle w:val="ListNumber"/>
      </w:pPr>
      <w:r w:rsidRPr="00F91B43">
        <w:t>Consideration of home growth 2001-2011 provides a projection based on the rate of delivery of net new homes between the two censuses.  There was an increase of 74 dwellings in the NPA between these two dates, or an average annual rate of increase of 7</w:t>
      </w:r>
      <w:r w:rsidR="00F91B43">
        <w:t>.4 homes</w:t>
      </w:r>
      <w:r w:rsidRPr="00F91B43">
        <w:t xml:space="preserve">.  Multiplying this annual figure by the number of years </w:t>
      </w:r>
      <w:r w:rsidR="00F91B43" w:rsidRPr="00F91B43">
        <w:t>from 2017 until the end of the P</w:t>
      </w:r>
      <w:r w:rsidRPr="00F91B43">
        <w:t xml:space="preserve">lan period </w:t>
      </w:r>
      <w:r w:rsidR="00F91B43" w:rsidRPr="00F91B43">
        <w:t xml:space="preserve">(16 years) </w:t>
      </w:r>
      <w:r w:rsidRPr="00F91B43">
        <w:t xml:space="preserve">would produce </w:t>
      </w:r>
      <w:r w:rsidR="00F91B43">
        <w:t>118</w:t>
      </w:r>
      <w:r w:rsidRPr="00F91B43">
        <w:t xml:space="preserve"> homes</w:t>
      </w:r>
      <w:r w:rsidR="00F91B43">
        <w:t xml:space="preserve"> (rounded)</w:t>
      </w:r>
      <w:r w:rsidRPr="00F91B43">
        <w:t xml:space="preserve">. </w:t>
      </w:r>
    </w:p>
    <w:p w:rsidR="00654232" w:rsidRPr="00A76479" w:rsidRDefault="00654232" w:rsidP="00C26717">
      <w:pPr>
        <w:pStyle w:val="Heading2"/>
      </w:pPr>
      <w:bookmarkStart w:id="90" w:name="_Toc504464733"/>
      <w:r w:rsidRPr="00A76479">
        <w:t>Dwelling growth since 2011</w:t>
      </w:r>
      <w:bookmarkEnd w:id="90"/>
    </w:p>
    <w:p w:rsidR="00654232" w:rsidRPr="00A76479" w:rsidRDefault="00654232" w:rsidP="00C26717">
      <w:pPr>
        <w:pStyle w:val="ListNumber"/>
      </w:pPr>
      <w:r w:rsidRPr="00A76479">
        <w:t xml:space="preserve">It is also helpful to consider a projection based on the rate of delivery of net new homes since the last </w:t>
      </w:r>
      <w:r w:rsidR="005C4D58">
        <w:t>C</w:t>
      </w:r>
      <w:r w:rsidRPr="00A76479">
        <w:t xml:space="preserve">ensus (2011), using data gathered and monitored by the LPA.  As we </w:t>
      </w:r>
      <w:r w:rsidRPr="007710AF">
        <w:t>have seen, between 2011 and 2017, 71 new dwellings were completed</w:t>
      </w:r>
      <w:r w:rsidR="005C4D58">
        <w:t>.</w:t>
      </w:r>
      <w:r w:rsidRPr="007710AF">
        <w:rPr>
          <w:rStyle w:val="FootnoteReference"/>
          <w:rFonts w:ascii="Arial" w:hAnsi="Arial" w:cs="Arial"/>
          <w:sz w:val="22"/>
          <w:szCs w:val="22"/>
        </w:rPr>
        <w:footnoteReference w:id="13"/>
      </w:r>
      <w:r w:rsidRPr="007710AF">
        <w:t xml:space="preserve"> This equates to an annual rate of delivery of </w:t>
      </w:r>
      <w:r w:rsidR="007710AF" w:rsidRPr="007710AF">
        <w:t>11.83</w:t>
      </w:r>
      <w:r w:rsidRPr="007710AF">
        <w:t xml:space="preserve"> homes</w:t>
      </w:r>
      <w:r w:rsidRPr="00A76479">
        <w:t xml:space="preserve"> (71 divided by </w:t>
      </w:r>
      <w:r>
        <w:t>6</w:t>
      </w:r>
      <w:r w:rsidRPr="00A76479">
        <w:t>, the number of years elapsed).  If this rate of delivery continued to 20</w:t>
      </w:r>
      <w:r w:rsidR="007710AF">
        <w:t>33</w:t>
      </w:r>
      <w:r w:rsidRPr="00A76479">
        <w:t xml:space="preserve">, this would equate to a projection of </w:t>
      </w:r>
      <w:r w:rsidR="007710AF" w:rsidRPr="007710AF">
        <w:rPr>
          <w:b/>
        </w:rPr>
        <w:t xml:space="preserve">176 </w:t>
      </w:r>
      <w:r w:rsidR="007710AF" w:rsidRPr="007710AF">
        <w:t>(rounded)</w:t>
      </w:r>
      <w:r w:rsidRPr="007710AF">
        <w:t xml:space="preserve"> </w:t>
      </w:r>
      <w:r w:rsidRPr="00A76479">
        <w:t>homes from 201</w:t>
      </w:r>
      <w:r w:rsidR="007710AF">
        <w:t>8</w:t>
      </w:r>
      <w:r w:rsidRPr="00A76479">
        <w:t xml:space="preserve"> to the end of the </w:t>
      </w:r>
      <w:r w:rsidR="000375DA">
        <w:t>Plan period</w:t>
      </w:r>
      <w:r w:rsidRPr="00A76479">
        <w:t>.</w:t>
      </w:r>
    </w:p>
    <w:p w:rsidR="00654232" w:rsidRPr="004F16CD" w:rsidRDefault="00654232" w:rsidP="00C26717">
      <w:pPr>
        <w:pStyle w:val="Heading2"/>
        <w:rPr>
          <w:rFonts w:eastAsia="Times New Roman"/>
          <w:lang w:val="en-US"/>
        </w:rPr>
      </w:pPr>
      <w:bookmarkStart w:id="91" w:name="_Toc504464734"/>
      <w:r w:rsidRPr="004F16CD">
        <w:rPr>
          <w:rFonts w:eastAsia="Times New Roman"/>
          <w:lang w:val="en-US"/>
        </w:rPr>
        <w:t>Dwelling growth 2001-2017</w:t>
      </w:r>
      <w:bookmarkEnd w:id="91"/>
    </w:p>
    <w:p w:rsidR="00654232" w:rsidRPr="004F16CD" w:rsidRDefault="00654232" w:rsidP="00654232">
      <w:pPr>
        <w:tabs>
          <w:tab w:val="clear" w:pos="284"/>
        </w:tabs>
        <w:spacing w:line="276" w:lineRule="auto"/>
      </w:pPr>
    </w:p>
    <w:p w:rsidR="007710AF" w:rsidRPr="002F1F02" w:rsidRDefault="007710AF" w:rsidP="00C26717">
      <w:pPr>
        <w:pStyle w:val="ListNumber"/>
      </w:pPr>
      <w:r w:rsidRPr="002F1F02">
        <w:t xml:space="preserve">It is important to note the disparity between the two ‘home growth’ figures; this reflects the susceptibility of the development industry to fluctuations in demand and costs of development, among other factors. To allow for these peaks and troughs, and </w:t>
      </w:r>
      <w:r w:rsidR="005C4D58">
        <w:t xml:space="preserve">to </w:t>
      </w:r>
      <w:r w:rsidRPr="002F1F02">
        <w:t xml:space="preserve">provide a more realistic picture of the quantum of development </w:t>
      </w:r>
      <w:r w:rsidR="005C4D58">
        <w:t xml:space="preserve">that </w:t>
      </w:r>
      <w:r w:rsidRPr="002F1F02">
        <w:t xml:space="preserve">could be delivered over the Plan period, we have taken the aggregate of the homes growth between 2001 and 2017; this comes to 145 (74 + 71) dwellings. Expressed as an annual average rate, this is 9.06 </w:t>
      </w:r>
      <w:proofErr w:type="spellStart"/>
      <w:r w:rsidRPr="002F1F02">
        <w:t>dpa</w:t>
      </w:r>
      <w:proofErr w:type="spellEnd"/>
      <w:r w:rsidRPr="002F1F02">
        <w:t xml:space="preserve">. This produces </w:t>
      </w:r>
      <w:r w:rsidR="005C4D58">
        <w:t xml:space="preserve">a </w:t>
      </w:r>
      <w:r w:rsidRPr="002F1F02">
        <w:t xml:space="preserve">projection derived from homes growth between 2001 and 2017 of 136 homes over the </w:t>
      </w:r>
      <w:r w:rsidR="000375DA">
        <w:t>Plan period</w:t>
      </w:r>
      <w:r w:rsidRPr="002F1F02">
        <w:t xml:space="preserve"> of 2018-2033 (9.06</w:t>
      </w:r>
      <w:r w:rsidR="005C4D58">
        <w:t xml:space="preserve"> </w:t>
      </w:r>
      <w:r w:rsidRPr="002F1F02">
        <w:t>x</w:t>
      </w:r>
      <w:r w:rsidR="005C4D58">
        <w:t xml:space="preserve"> </w:t>
      </w:r>
      <w:r w:rsidRPr="002F1F02">
        <w:t>15).</w:t>
      </w:r>
    </w:p>
    <w:p w:rsidR="00654232" w:rsidRPr="004F16CD" w:rsidRDefault="00654232" w:rsidP="00C26717">
      <w:pPr>
        <w:pStyle w:val="Heading2"/>
      </w:pPr>
      <w:bookmarkStart w:id="92" w:name="_Toc504464735"/>
      <w:r w:rsidRPr="004F16CD">
        <w:t>The standard methodology</w:t>
      </w:r>
      <w:bookmarkEnd w:id="92"/>
    </w:p>
    <w:p w:rsidR="00654232" w:rsidRPr="004F16CD" w:rsidRDefault="00654232" w:rsidP="00C26717">
      <w:pPr>
        <w:pStyle w:val="ListNumber"/>
      </w:pPr>
      <w:r w:rsidRPr="004F16CD">
        <w:t>On September 14</w:t>
      </w:r>
      <w:r w:rsidRPr="004F16CD">
        <w:rPr>
          <w:vertAlign w:val="superscript"/>
        </w:rPr>
        <w:t>th</w:t>
      </w:r>
      <w:r w:rsidRPr="004F16CD">
        <w:t>, 2017, the Department for Communities and Local Government (</w:t>
      </w:r>
      <w:r w:rsidR="00B25544">
        <w:t>MHCLG</w:t>
      </w:r>
      <w:r w:rsidRPr="004F16CD">
        <w:t xml:space="preserve">) published “Planning for the right homes in the right places: consultation proposals” (the consultation proposals), a consultation on a new proposed Standard Methodology for Assessing Housing Need (SMAHN) for arriving at an OAN for housing for individual local authorities, thus avoiding both the expense of producing complex SHMAs and the disagreements surrounding their methodologies. </w:t>
      </w:r>
      <w:r w:rsidR="00B25544">
        <w:t>MHCLG</w:t>
      </w:r>
      <w:r w:rsidRPr="004F16CD">
        <w:t xml:space="preserve"> has stated that “this consultation sets out a number of proposals to reform the planning system" including "how neighbourhood planning groups can have greater certainty on the level of housing need to plan for”.</w:t>
      </w:r>
      <w:r w:rsidR="002075C9">
        <w:rPr>
          <w:rStyle w:val="FootnoteReference"/>
        </w:rPr>
        <w:footnoteReference w:id="14"/>
      </w:r>
    </w:p>
    <w:p w:rsidR="00654232" w:rsidRPr="004F16CD" w:rsidRDefault="00654232" w:rsidP="00C26717">
      <w:pPr>
        <w:pStyle w:val="ListNumber"/>
      </w:pPr>
      <w:r w:rsidRPr="004F16CD">
        <w:t xml:space="preserve">Whilst the document is currently being consulted on at the time of this HNA report, it is important to consider the implications of this emerging policy guidance for potential housing need calculations in the NDP. Therefore, what follows is an assessment of the NPA’s housing need based on the new proposed methodology which, should the policy be put in place in its current form, </w:t>
      </w:r>
      <w:r w:rsidR="008734F7">
        <w:t>provide</w:t>
      </w:r>
      <w:r w:rsidRPr="004F16CD">
        <w:t xml:space="preserve"> the preferred figures for housing need in the area. This projection is included </w:t>
      </w:r>
      <w:r w:rsidRPr="004F16CD">
        <w:rPr>
          <w:i/>
          <w:iCs/>
        </w:rPr>
        <w:t>for information only</w:t>
      </w:r>
      <w:r w:rsidRPr="004F16CD">
        <w:t>, bearing in mind that the consultation makes clear that LPAs will have the option of using alternative methods of calculating their OAN, so long as the number they arrive at exceeds that produced by the new standard methodology.</w:t>
      </w:r>
    </w:p>
    <w:p w:rsidR="00654232" w:rsidRPr="004F16CD" w:rsidRDefault="00654232" w:rsidP="00C26717">
      <w:pPr>
        <w:pStyle w:val="ListNumber"/>
      </w:pPr>
      <w:r w:rsidRPr="004F16CD">
        <w:t>Proposed updates to the PPG include a requirement that LPAs provide a housing need figure to neighbourhood planning groups, and that they may do this by making a reasoned judgement based on the settlement strategy and housing allocations in their plan, so long as the local plan provides a sufficiently up-to-date basis to do so.</w:t>
      </w:r>
      <w:r w:rsidRPr="009144D7">
        <w:rPr>
          <w:rStyle w:val="FootnoteReference"/>
          <w:rFonts w:ascii="Arial" w:hAnsi="Arial" w:cs="Arial"/>
        </w:rPr>
        <w:footnoteReference w:id="15"/>
      </w:r>
      <w:r w:rsidRPr="004F16CD">
        <w:t xml:space="preserve"> The starting point for using the SMAHN for the neighbourhood level is therefore whether the current Local Plan was adopted before or after the introduction of the NPPF. </w:t>
      </w:r>
    </w:p>
    <w:p w:rsidR="00654232" w:rsidRPr="004F16CD" w:rsidRDefault="00654232" w:rsidP="00C26717">
      <w:pPr>
        <w:pStyle w:val="ListNumber"/>
      </w:pPr>
      <w:r w:rsidRPr="004F16CD">
        <w:t>In the case of West Wittering, the Chichester Local Plan was adopted in 2015, and therefore provides an up-to-date basis</w:t>
      </w:r>
      <w:r>
        <w:t xml:space="preserve"> for arriving at a housing need</w:t>
      </w:r>
      <w:r w:rsidRPr="004F16CD">
        <w:t xml:space="preserve"> figure for the NPA. </w:t>
      </w:r>
      <w:r>
        <w:t>T</w:t>
      </w:r>
      <w:r w:rsidRPr="004F16CD">
        <w:t xml:space="preserve">he indicative assessment using the SMAHN formula is </w:t>
      </w:r>
      <w:r w:rsidRPr="004F16CD">
        <w:rPr>
          <w:b/>
        </w:rPr>
        <w:t>609</w:t>
      </w:r>
      <w:r w:rsidRPr="004F16CD">
        <w:t xml:space="preserve"> dwellings per annum for Chichester. This is </w:t>
      </w:r>
      <w:proofErr w:type="gramStart"/>
      <w:r w:rsidRPr="004F16CD">
        <w:t>an uplift</w:t>
      </w:r>
      <w:proofErr w:type="gramEnd"/>
      <w:r w:rsidRPr="004F16CD">
        <w:t xml:space="preserve"> on the current figure of 435 set out in the Chichester Local Plan of around 40%, and suggests there should be an increase of </w:t>
      </w:r>
      <w:r w:rsidRPr="004F16CD">
        <w:rPr>
          <w:b/>
        </w:rPr>
        <w:t>2,965</w:t>
      </w:r>
      <w:r w:rsidRPr="004F16CD">
        <w:t xml:space="preserve"> dwellings over the </w:t>
      </w:r>
      <w:r w:rsidR="000375DA">
        <w:t>Plan period</w:t>
      </w:r>
      <w:r w:rsidRPr="004F16CD">
        <w:t xml:space="preserve"> from 2012 to 2029, or a new target of </w:t>
      </w:r>
      <w:r w:rsidRPr="004F16CD">
        <w:rPr>
          <w:b/>
        </w:rPr>
        <w:t>10,353</w:t>
      </w:r>
      <w:r w:rsidRPr="004F16CD">
        <w:t xml:space="preserve">.  As this total falls within the proposed 40% cap, it is reasonable to assume at this point that Chichester may see </w:t>
      </w:r>
      <w:proofErr w:type="gramStart"/>
      <w:r w:rsidRPr="004F16CD">
        <w:t>an uplift</w:t>
      </w:r>
      <w:proofErr w:type="gramEnd"/>
      <w:r w:rsidRPr="004F16CD">
        <w:t xml:space="preserve"> in its housing need figure in the order of 40% with the introduction of the SMAHN. </w:t>
      </w:r>
    </w:p>
    <w:p w:rsidR="00654232" w:rsidRPr="00832040" w:rsidRDefault="00654232" w:rsidP="00C26717">
      <w:pPr>
        <w:pStyle w:val="ListNumber"/>
      </w:pPr>
      <w:r w:rsidRPr="004F16CD">
        <w:lastRenderedPageBreak/>
        <w:t xml:space="preserve">Assuming a new OAN for housing of </w:t>
      </w:r>
      <w:r w:rsidRPr="00FF3A87">
        <w:rPr>
          <w:b/>
        </w:rPr>
        <w:t>609</w:t>
      </w:r>
      <w:r w:rsidRPr="004F16CD">
        <w:t xml:space="preserve"> dwellings, this would produce a revised projection for the NPA based on this number of 3.23%. Taking into account the 71 dwellings built in the </w:t>
      </w:r>
      <w:r w:rsidR="005F5CF8">
        <w:t>Parish</w:t>
      </w:r>
      <w:r w:rsidRPr="004F16CD">
        <w:t xml:space="preserve"> since the 2011 Census, a housing needs figure that is compliant with the SMAHN is </w:t>
      </w:r>
      <w:r w:rsidRPr="004F16CD">
        <w:rPr>
          <w:b/>
        </w:rPr>
        <w:t>264</w:t>
      </w:r>
      <w:r w:rsidRPr="004F16CD">
        <w:t xml:space="preserve"> dwellings or </w:t>
      </w:r>
      <w:r w:rsidRPr="004F16CD">
        <w:rPr>
          <w:b/>
        </w:rPr>
        <w:t>22</w:t>
      </w:r>
      <w:r w:rsidRPr="004F16CD">
        <w:t xml:space="preserve"> </w:t>
      </w:r>
      <w:proofErr w:type="spellStart"/>
      <w:r w:rsidR="00BE12EC">
        <w:t>dpa</w:t>
      </w:r>
      <w:proofErr w:type="spellEnd"/>
      <w:r w:rsidRPr="004F16CD">
        <w:t>.</w:t>
      </w:r>
      <w:r w:rsidRPr="00832040">
        <w:t xml:space="preserve"> </w:t>
      </w:r>
    </w:p>
    <w:p w:rsidR="00C26717" w:rsidRDefault="00C26717">
      <w:pPr>
        <w:tabs>
          <w:tab w:val="clear" w:pos="284"/>
        </w:tabs>
        <w:spacing w:line="240" w:lineRule="auto"/>
      </w:pPr>
      <w:r>
        <w:br w:type="page"/>
      </w:r>
    </w:p>
    <w:p w:rsidR="00427701" w:rsidRPr="00427701" w:rsidRDefault="00427701" w:rsidP="00C26717">
      <w:pPr>
        <w:pStyle w:val="Heading1"/>
      </w:pPr>
      <w:bookmarkStart w:id="93" w:name="_Toc504464736"/>
      <w:bookmarkStart w:id="94" w:name="_Toc486850626"/>
      <w:r w:rsidRPr="00427701">
        <w:lastRenderedPageBreak/>
        <w:t xml:space="preserve">RQ2. What </w:t>
      </w:r>
      <w:r w:rsidRPr="00427701">
        <w:rPr>
          <w:u w:val="single"/>
        </w:rPr>
        <w:t xml:space="preserve">affordable housing </w:t>
      </w:r>
      <w:r w:rsidRPr="00427701">
        <w:t xml:space="preserve">(social housing, affordable rented, shared ownership, intermediate rented) and </w:t>
      </w:r>
      <w:r w:rsidRPr="00427701">
        <w:rPr>
          <w:u w:val="single"/>
        </w:rPr>
        <w:t>market housing tenures</w:t>
      </w:r>
      <w:r w:rsidRPr="00427701">
        <w:t xml:space="preserve"> should be included in the housing mix?</w:t>
      </w:r>
      <w:bookmarkEnd w:id="93"/>
    </w:p>
    <w:p w:rsidR="0028000E" w:rsidRDefault="00F0016A" w:rsidP="00C26717">
      <w:pPr>
        <w:pStyle w:val="ListNumber"/>
      </w:pPr>
      <w:r w:rsidRPr="00F0016A">
        <w:t xml:space="preserve">The provision of affordable housing is critical to the continuation of most communities as viable settlements; it needs however to be understood in relation to other tenures. </w:t>
      </w:r>
      <w:r w:rsidR="0028000E" w:rsidRPr="00091930">
        <w:t>The PPG states that HNAs should investigate household tenure in the current stock and recent supply, and make an assessment, based on a reasonable interpretation of the evidence gathered, whether continuation of these trends would meet future needs or whether, on account of significant misalignments between supply of housing falling into different tenure types and local need/demand, policies should support a change to the profile of tenure within the NPA’s housing stock.</w:t>
      </w:r>
      <w:r w:rsidR="0028000E" w:rsidRPr="00091930">
        <w:rPr>
          <w:rStyle w:val="FootnoteReference"/>
          <w:rFonts w:ascii="Arial" w:hAnsi="Arial" w:cs="Arial"/>
        </w:rPr>
        <w:footnoteReference w:id="16"/>
      </w:r>
    </w:p>
    <w:p w:rsidR="0028000E" w:rsidRPr="002B4E1A" w:rsidRDefault="0028000E" w:rsidP="00C26717">
      <w:pPr>
        <w:pStyle w:val="Heading2"/>
      </w:pPr>
      <w:bookmarkStart w:id="95" w:name="_Toc488669497"/>
      <w:bookmarkStart w:id="96" w:name="_Toc504464737"/>
      <w:r w:rsidRPr="002B4E1A">
        <w:t>Definitional issues</w:t>
      </w:r>
      <w:bookmarkEnd w:id="94"/>
      <w:bookmarkEnd w:id="95"/>
      <w:bookmarkEnd w:id="96"/>
    </w:p>
    <w:p w:rsidR="0028000E" w:rsidRPr="001C6652" w:rsidRDefault="0028000E" w:rsidP="00C26717">
      <w:pPr>
        <w:pStyle w:val="ListNumber"/>
      </w:pPr>
      <w:r w:rsidRPr="00F27E0B">
        <w:t xml:space="preserve">It is necessary at this stage of the study to make clear the distinction between affordable homes as a piece of planning terminology and the colloquial meaning of the phrase. In the course of this study, we refer to Affordable Housing, abbreviated to ‘AH’. We mean by this those forms of housing tenure that fall within the definition of Affordable Housing set out in the NPPF: social, affordable rented and various forms of intermediate housing. To distinguish this from the colloquial definition, we refer to the latter as Affordable Market Housing (AMH). </w:t>
      </w:r>
    </w:p>
    <w:p w:rsidR="0028000E" w:rsidRPr="002B4E1A" w:rsidRDefault="0028000E" w:rsidP="00C26717">
      <w:pPr>
        <w:pStyle w:val="ListNumber"/>
      </w:pPr>
      <w:r w:rsidRPr="002B4E1A">
        <w:rPr>
          <w:rFonts w:cs="Arial"/>
        </w:rPr>
        <w:t xml:space="preserve">In this paragraph we briefly review the proposed reforms to the definition of AH set out in the Government’s Housing White Paper published in February 2017. </w:t>
      </w:r>
      <w:r w:rsidRPr="002B4E1A">
        <w:t xml:space="preserve">These reforms make clear its commitment to home ownership but recognised the important role of affordable rent for those not currently seeking home ownership. The changes proposed would broaden the definition of affordable housing, supporting ‘present and future innovation by housing providers in meeting the needs of a wide range of households who are unable to access market housing’. This would include ‘products that are analogous to low cost market housing or intermediate rent, such as discount market sales or innovative rent to buy housing. Some of these products may not be subject to ‘in perpetuity’ restrictions or have recycled subsidy’. </w:t>
      </w:r>
    </w:p>
    <w:p w:rsidR="0028000E" w:rsidRPr="002B4E1A" w:rsidRDefault="0028000E" w:rsidP="00C26717">
      <w:pPr>
        <w:pStyle w:val="ListNumber"/>
      </w:pPr>
      <w:r w:rsidRPr="002B4E1A">
        <w:t>The Housing and Planning Act 2016 made provision for a new simplified definition of affordable housing as ‘new dwellings…to be made available for people whose needs are not adequately served by the commercial housing market’</w:t>
      </w:r>
      <w:r w:rsidR="00BE12EC">
        <w:t>.</w:t>
      </w:r>
      <w:r w:rsidRPr="002B4E1A">
        <w:rPr>
          <w:rStyle w:val="FootnoteReference"/>
        </w:rPr>
        <w:footnoteReference w:id="17"/>
      </w:r>
      <w:r w:rsidRPr="002B4E1A">
        <w:t xml:space="preserve"> Secondary legislation is required to implement this definition, necessitating further parliamentary debate</w:t>
      </w:r>
      <w:r w:rsidR="00BE12EC">
        <w:t>.</w:t>
      </w:r>
      <w:r w:rsidRPr="002B4E1A">
        <w:rPr>
          <w:rStyle w:val="FootnoteReference"/>
        </w:rPr>
        <w:footnoteReference w:id="18"/>
      </w:r>
      <w:r w:rsidRPr="002B4E1A">
        <w:t xml:space="preserve"> </w:t>
      </w:r>
    </w:p>
    <w:p w:rsidR="0028000E" w:rsidRPr="002B4E1A" w:rsidRDefault="0028000E" w:rsidP="00C26717">
      <w:pPr>
        <w:pStyle w:val="ListNumber"/>
      </w:pPr>
      <w:r w:rsidRPr="002B4E1A">
        <w:t>The Housing White Paper</w:t>
      </w:r>
      <w:r w:rsidRPr="002B4E1A">
        <w:rPr>
          <w:rStyle w:val="FootnoteReference"/>
        </w:rPr>
        <w:footnoteReference w:id="19"/>
      </w:r>
      <w:r w:rsidRPr="002B4E1A">
        <w:t xml:space="preserve"> confirms that a revised definition of AH will be brought forward through changes to the NPPF later this year, proposing a definition as ‘housing that is provided for sale or rent to those whose needs are not met by the market (this can include housing that provides a subsidised route to home ownership’ and which ‘meets the criteria’ for one of the following models</w:t>
      </w:r>
      <w:r w:rsidR="00AD5134">
        <w:t>:</w:t>
      </w:r>
      <w:r w:rsidRPr="002B4E1A">
        <w:rPr>
          <w:rStyle w:val="FootnoteReference"/>
        </w:rPr>
        <w:footnoteReference w:id="20"/>
      </w:r>
    </w:p>
    <w:p w:rsidR="0028000E" w:rsidRPr="002B4E1A" w:rsidRDefault="0028000E" w:rsidP="00C26717">
      <w:pPr>
        <w:pStyle w:val="2BodyText"/>
        <w:numPr>
          <w:ilvl w:val="1"/>
          <w:numId w:val="30"/>
        </w:numPr>
        <w:spacing w:line="276" w:lineRule="auto"/>
        <w:ind w:left="1134" w:hanging="425"/>
        <w:rPr>
          <w:szCs w:val="18"/>
        </w:rPr>
      </w:pPr>
      <w:r w:rsidRPr="002B4E1A">
        <w:rPr>
          <w:b/>
          <w:szCs w:val="18"/>
        </w:rPr>
        <w:t xml:space="preserve">Social rented </w:t>
      </w:r>
      <w:proofErr w:type="gramStart"/>
      <w:r w:rsidRPr="002B4E1A">
        <w:rPr>
          <w:b/>
          <w:szCs w:val="18"/>
        </w:rPr>
        <w:t>housing</w:t>
      </w:r>
      <w:r w:rsidRPr="002B4E1A">
        <w:rPr>
          <w:szCs w:val="18"/>
        </w:rPr>
        <w:t>,</w:t>
      </w:r>
      <w:proofErr w:type="gramEnd"/>
      <w:r w:rsidRPr="002B4E1A">
        <w:rPr>
          <w:szCs w:val="18"/>
        </w:rPr>
        <w:t xml:space="preserve"> defined as currently and owned by local authorities and private registered providers with guideline target rents determined through the national rent regime. It may be owned by other persons and provided under equivalent rental arrangements, as agreed with the local authority or Homes and Communities Agency;</w:t>
      </w:r>
    </w:p>
    <w:p w:rsidR="0028000E" w:rsidRPr="002B4E1A" w:rsidRDefault="0028000E" w:rsidP="00C26717">
      <w:pPr>
        <w:pStyle w:val="2BodyText"/>
        <w:numPr>
          <w:ilvl w:val="1"/>
          <w:numId w:val="30"/>
        </w:numPr>
        <w:spacing w:line="276" w:lineRule="auto"/>
        <w:ind w:left="1134" w:hanging="425"/>
        <w:rPr>
          <w:szCs w:val="18"/>
        </w:rPr>
      </w:pPr>
      <w:r w:rsidRPr="002B4E1A">
        <w:rPr>
          <w:b/>
          <w:szCs w:val="18"/>
        </w:rPr>
        <w:t xml:space="preserve">Affordable rented </w:t>
      </w:r>
      <w:proofErr w:type="gramStart"/>
      <w:r w:rsidRPr="002B4E1A">
        <w:rPr>
          <w:b/>
          <w:szCs w:val="18"/>
        </w:rPr>
        <w:t>housing</w:t>
      </w:r>
      <w:r w:rsidRPr="002B4E1A">
        <w:rPr>
          <w:szCs w:val="18"/>
        </w:rPr>
        <w:t>,</w:t>
      </w:r>
      <w:proofErr w:type="gramEnd"/>
      <w:r w:rsidRPr="002B4E1A">
        <w:rPr>
          <w:szCs w:val="18"/>
        </w:rPr>
        <w:t xml:space="preserve"> defined as currently and let by local authorities or private registered providers of social housing to households eligible for social rented housing. Affordable rent is controlled at no more than 80% of the local market rent including service charges where applicable;</w:t>
      </w:r>
    </w:p>
    <w:p w:rsidR="0028000E" w:rsidRPr="002B4E1A" w:rsidRDefault="0028000E" w:rsidP="00C26717">
      <w:pPr>
        <w:pStyle w:val="2BodyText"/>
        <w:numPr>
          <w:ilvl w:val="1"/>
          <w:numId w:val="30"/>
        </w:numPr>
        <w:spacing w:line="276" w:lineRule="auto"/>
        <w:ind w:left="1134" w:hanging="425"/>
        <w:rPr>
          <w:szCs w:val="18"/>
        </w:rPr>
      </w:pPr>
      <w:r w:rsidRPr="002B4E1A">
        <w:rPr>
          <w:b/>
          <w:szCs w:val="18"/>
        </w:rPr>
        <w:t>Starter Homes</w:t>
      </w:r>
      <w:r w:rsidRPr="002B4E1A">
        <w:rPr>
          <w:szCs w:val="18"/>
        </w:rPr>
        <w:t>, as defined in the Housing and Planning Act 2016 and subsequent secondary legislation with an income restriction of £80,000 outside London. These homes are expected to provide a new low cost market housing product for first time buyers between the ages of 23 and 40 with a mortgage, sold for no more than 80% of open market value and capped at £250,000 outside London;</w:t>
      </w:r>
    </w:p>
    <w:p w:rsidR="0028000E" w:rsidRPr="002B4E1A" w:rsidRDefault="0028000E" w:rsidP="00C26717">
      <w:pPr>
        <w:pStyle w:val="2BodyText"/>
        <w:numPr>
          <w:ilvl w:val="1"/>
          <w:numId w:val="30"/>
        </w:numPr>
        <w:spacing w:line="276" w:lineRule="auto"/>
        <w:ind w:left="1134" w:hanging="425"/>
        <w:rPr>
          <w:szCs w:val="18"/>
        </w:rPr>
      </w:pPr>
      <w:r w:rsidRPr="002B4E1A">
        <w:rPr>
          <w:b/>
          <w:szCs w:val="18"/>
        </w:rPr>
        <w:lastRenderedPageBreak/>
        <w:t>Discounted market sales housing</w:t>
      </w:r>
      <w:r w:rsidRPr="002B4E1A">
        <w:rPr>
          <w:szCs w:val="18"/>
        </w:rPr>
        <w:t>, sold at a discount of at least 20% below market value with provision to remain at a discount for future eligible households. Eligibility is to be determined with regard to local incomes and house prices;</w:t>
      </w:r>
    </w:p>
    <w:p w:rsidR="0028000E" w:rsidRDefault="0028000E" w:rsidP="00C26717">
      <w:pPr>
        <w:pStyle w:val="2BodyText"/>
        <w:numPr>
          <w:ilvl w:val="1"/>
          <w:numId w:val="30"/>
        </w:numPr>
        <w:spacing w:line="276" w:lineRule="auto"/>
        <w:ind w:left="1134" w:hanging="425"/>
        <w:rPr>
          <w:szCs w:val="18"/>
        </w:rPr>
      </w:pPr>
      <w:r w:rsidRPr="002B4E1A">
        <w:rPr>
          <w:b/>
          <w:szCs w:val="18"/>
        </w:rPr>
        <w:t>Affordable private rent housing</w:t>
      </w:r>
      <w:r w:rsidRPr="002B4E1A">
        <w:rPr>
          <w:szCs w:val="18"/>
        </w:rPr>
        <w:t>, made available for rent at a level which is at least 20% below local market rent with provision to ensure that rent remains at a discounted level or alternative affordable housing provision is made if the discount is withdrawn. This is viewed as particularly suited to the provision of affordable housing in Build to Rent schemes; and</w:t>
      </w:r>
    </w:p>
    <w:p w:rsidR="0028000E" w:rsidRDefault="0028000E" w:rsidP="00C26717">
      <w:pPr>
        <w:pStyle w:val="2BodyText"/>
        <w:numPr>
          <w:ilvl w:val="1"/>
          <w:numId w:val="30"/>
        </w:numPr>
        <w:spacing w:line="276" w:lineRule="auto"/>
        <w:ind w:left="1134" w:hanging="425"/>
        <w:rPr>
          <w:szCs w:val="18"/>
        </w:rPr>
      </w:pPr>
      <w:r w:rsidRPr="00F27E0B">
        <w:rPr>
          <w:szCs w:val="18"/>
        </w:rPr>
        <w:t xml:space="preserve"> </w:t>
      </w:r>
      <w:r w:rsidRPr="00F27E0B">
        <w:rPr>
          <w:b/>
          <w:szCs w:val="18"/>
        </w:rPr>
        <w:t>Intermediate housing</w:t>
      </w:r>
      <w:r w:rsidRPr="00F27E0B">
        <w:rPr>
          <w:szCs w:val="18"/>
        </w:rPr>
        <w:t>, defined to include discounted market sales and affordable private rent housing – as outlined above – and other housing that is ‘provided for sale and rent at a cost above social rent, but below market levels’.</w:t>
      </w:r>
    </w:p>
    <w:p w:rsidR="0028000E" w:rsidRPr="00F27E0B" w:rsidRDefault="0028000E" w:rsidP="00C26717">
      <w:pPr>
        <w:pStyle w:val="ListNumber"/>
      </w:pPr>
      <w:r w:rsidRPr="00F27E0B">
        <w:t>A transition period is proposed to enable a review of local policies, with the revised definitions intended to apply from April 2018. The Government also intends to introduce a requirement for sites of 10 units or more to ensure that at least 10% of all homes are affordable home ownership products, including Starter Homes, shared ownership homes and homes available for discount market sale</w:t>
      </w:r>
      <w:r w:rsidRPr="00F27E0B">
        <w:rPr>
          <w:i/>
        </w:rPr>
        <w:t>.</w:t>
      </w:r>
    </w:p>
    <w:p w:rsidR="0028000E" w:rsidRDefault="0028000E" w:rsidP="00C26717">
      <w:pPr>
        <w:pStyle w:val="ListNumber"/>
      </w:pPr>
      <w:r w:rsidRPr="002B4E1A">
        <w:t xml:space="preserve">The evidence assembled to answer RQ2 seeks to populate a series of ‘key indicators’; these are the </w:t>
      </w:r>
      <w:r w:rsidRPr="0028000E">
        <w:rPr>
          <w:u w:val="single"/>
        </w:rPr>
        <w:t>age structure</w:t>
      </w:r>
      <w:r w:rsidRPr="002B4E1A">
        <w:t xml:space="preserve"> of the population, </w:t>
      </w:r>
      <w:r w:rsidRPr="0028000E">
        <w:rPr>
          <w:u w:val="single"/>
        </w:rPr>
        <w:t>household composition and income</w:t>
      </w:r>
      <w:r w:rsidRPr="002B4E1A">
        <w:t xml:space="preserve"> both now and how they are forecast to change in future years. Through a consideration of these trends and how they interrelate to each other, it is possible to arrive at recommendations as to how not only the tenure of housing in the plan area, but also type and size should be modified through planning policy. </w:t>
      </w:r>
    </w:p>
    <w:p w:rsidR="0028000E" w:rsidRPr="002B4E1A" w:rsidRDefault="0028000E" w:rsidP="00C26717">
      <w:pPr>
        <w:pStyle w:val="Heading2"/>
      </w:pPr>
      <w:bookmarkStart w:id="97" w:name="_Toc486850627"/>
      <w:bookmarkStart w:id="98" w:name="_Toc488669498"/>
      <w:bookmarkStart w:id="99" w:name="_Toc504464738"/>
      <w:r w:rsidRPr="002B4E1A">
        <w:t>Current tenure profile</w:t>
      </w:r>
      <w:bookmarkEnd w:id="97"/>
      <w:bookmarkEnd w:id="98"/>
      <w:bookmarkEnd w:id="99"/>
    </w:p>
    <w:p w:rsidR="00255355" w:rsidRPr="00C8167D" w:rsidRDefault="0028000E" w:rsidP="00C26717">
      <w:pPr>
        <w:pStyle w:val="ListNumber"/>
        <w:rPr>
          <w:color w:val="000000" w:themeColor="text1"/>
        </w:rPr>
      </w:pPr>
      <w:r w:rsidRPr="00091930">
        <w:t xml:space="preserve">Before we present this data, it is necessary to present a picture of tenure in the NPA </w:t>
      </w:r>
      <w:r w:rsidR="00C8167D">
        <w:t>based on the most recent reliable data</w:t>
      </w:r>
      <w:r w:rsidRPr="00091930">
        <w:t xml:space="preserve">. </w:t>
      </w:r>
      <w:r>
        <w:t xml:space="preserve">The table </w:t>
      </w:r>
      <w:r w:rsidRPr="00091930">
        <w:t xml:space="preserve">below presents </w:t>
      </w:r>
      <w:r w:rsidR="004231F6">
        <w:t>C</w:t>
      </w:r>
      <w:r w:rsidR="00C8167D">
        <w:t xml:space="preserve">ensus data from 2011 that shows the overwhelming majority of dwellings in the NPA are in owner occupation. The tenure profile offers some stark contrasts with </w:t>
      </w:r>
      <w:r w:rsidR="005F5CF8">
        <w:t>District</w:t>
      </w:r>
      <w:r w:rsidR="00C8167D">
        <w:t xml:space="preserve"> data, the representation of those dwellings in owner occupation exceeds the </w:t>
      </w:r>
      <w:r w:rsidR="005F5CF8">
        <w:t>District</w:t>
      </w:r>
      <w:r w:rsidR="00C8167D">
        <w:t xml:space="preserve"> by 16.3%, </w:t>
      </w:r>
      <w:proofErr w:type="gramStart"/>
      <w:r w:rsidR="00C8167D">
        <w:t>the</w:t>
      </w:r>
      <w:proofErr w:type="gramEnd"/>
      <w:r w:rsidR="00C8167D">
        <w:t xml:space="preserve"> stock of socially rented dwellings is substantially less, showing a difference of roughly 10%. </w:t>
      </w:r>
    </w:p>
    <w:p w:rsidR="00C26717" w:rsidRDefault="00C26717" w:rsidP="00C26717">
      <w:pPr>
        <w:pStyle w:val="Caption"/>
      </w:pPr>
      <w:r>
        <w:t xml:space="preserve">Table </w:t>
      </w:r>
      <w:fldSimple w:instr=" SEQ Table \* ARABIC ">
        <w:r w:rsidR="00B25544">
          <w:rPr>
            <w:noProof/>
          </w:rPr>
          <w:t>3</w:t>
        </w:r>
      </w:fldSimple>
      <w:r>
        <w:t xml:space="preserve">: </w:t>
      </w:r>
      <w:r w:rsidRPr="00F7185A">
        <w:t>Tenure (households) in West Wittering, 2011</w:t>
      </w:r>
    </w:p>
    <w:tbl>
      <w:tblPr>
        <w:tblW w:w="6389" w:type="dxa"/>
        <w:tblInd w:w="98" w:type="dxa"/>
        <w:tblLook w:val="04A0" w:firstRow="1" w:lastRow="0" w:firstColumn="1" w:lastColumn="0" w:noHBand="0" w:noVBand="1"/>
      </w:tblPr>
      <w:tblGrid>
        <w:gridCol w:w="1995"/>
        <w:gridCol w:w="1701"/>
        <w:gridCol w:w="1417"/>
        <w:gridCol w:w="1276"/>
      </w:tblGrid>
      <w:tr w:rsidR="00C8167D" w:rsidRPr="00C8167D" w:rsidTr="00C8167D">
        <w:trPr>
          <w:trHeight w:val="240"/>
        </w:trPr>
        <w:tc>
          <w:tcPr>
            <w:tcW w:w="19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Tenure</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West Wittering</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Chichester</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England</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Owned; total</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80.9%</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67.2%</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63.3%</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 xml:space="preserve">Shared ownership </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0.3%</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0.9%</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0.8%</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Social rented; total</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5.3%</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14.9%</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17.7%</w:t>
            </w:r>
          </w:p>
        </w:tc>
      </w:tr>
      <w:tr w:rsidR="00C8167D" w:rsidRPr="00C8167D" w:rsidTr="00C8167D">
        <w:trPr>
          <w:trHeight w:val="240"/>
        </w:trPr>
        <w:tc>
          <w:tcPr>
            <w:tcW w:w="1995" w:type="dxa"/>
            <w:tcBorders>
              <w:top w:val="nil"/>
              <w:left w:val="single" w:sz="8" w:space="0" w:color="auto"/>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Private rented; total</w:t>
            </w:r>
          </w:p>
        </w:tc>
        <w:tc>
          <w:tcPr>
            <w:tcW w:w="1701" w:type="dxa"/>
            <w:tcBorders>
              <w:top w:val="nil"/>
              <w:left w:val="nil"/>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11.2%</w:t>
            </w:r>
          </w:p>
        </w:tc>
        <w:tc>
          <w:tcPr>
            <w:tcW w:w="1417" w:type="dxa"/>
            <w:tcBorders>
              <w:top w:val="nil"/>
              <w:left w:val="nil"/>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14.9%</w:t>
            </w:r>
          </w:p>
        </w:tc>
        <w:tc>
          <w:tcPr>
            <w:tcW w:w="1276" w:type="dxa"/>
            <w:tcBorders>
              <w:top w:val="nil"/>
              <w:left w:val="nil"/>
              <w:bottom w:val="single" w:sz="8"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16.8%</w:t>
            </w:r>
          </w:p>
        </w:tc>
      </w:tr>
    </w:tbl>
    <w:p w:rsidR="00C8167D" w:rsidRPr="005D1D67" w:rsidRDefault="00C8167D" w:rsidP="00C26717">
      <w:pPr>
        <w:pStyle w:val="Source"/>
      </w:pPr>
      <w:r w:rsidRPr="00C8167D">
        <w:t xml:space="preserve">Source: Census 2011, AECOM </w:t>
      </w:r>
      <w:r w:rsidR="0028437E">
        <w:t>c</w:t>
      </w:r>
      <w:r w:rsidRPr="00C8167D">
        <w:t>alculations</w:t>
      </w:r>
    </w:p>
    <w:p w:rsidR="00C8167D" w:rsidRPr="005D1D67" w:rsidRDefault="00C26717" w:rsidP="00C26717">
      <w:pPr>
        <w:pStyle w:val="ListNumber"/>
      </w:pPr>
      <w:r>
        <w:t>The</w:t>
      </w:r>
      <w:r w:rsidR="00C8167D" w:rsidRPr="005D1D67">
        <w:t xml:space="preserve"> below </w:t>
      </w:r>
      <w:r w:rsidR="005D1D67" w:rsidRPr="005D1D67">
        <w:t>shows how tenure has shifted during the inter-censual period</w:t>
      </w:r>
      <w:r w:rsidR="005D1D67">
        <w:t xml:space="preserve">. The level of owner-occupation has remained broadly constant while there has been, in line with the </w:t>
      </w:r>
      <w:r w:rsidR="005F5CF8">
        <w:t>District</w:t>
      </w:r>
      <w:r w:rsidR="005D1D67">
        <w:t xml:space="preserve"> and the country as a whole, a substantial increase in privately rented dwellings. In terms of additional dwellings, the number of homes within the PRS increased from 91 to 151; those socially rented increased from 64 to 71. The increase in dwellings in shared ownership is somewhat misleading, given the low base. Dwellings falling into this tenure increased from 3 to 4 homes.  </w:t>
      </w:r>
      <w:r w:rsidR="005D1D67" w:rsidRPr="005D1D67">
        <w:t xml:space="preserve"> </w:t>
      </w:r>
    </w:p>
    <w:p w:rsidR="00C26717" w:rsidRDefault="00C26717" w:rsidP="00C26717">
      <w:pPr>
        <w:pStyle w:val="Caption"/>
      </w:pPr>
      <w:r>
        <w:t xml:space="preserve">Table </w:t>
      </w:r>
      <w:fldSimple w:instr=" SEQ Table \* ARABIC ">
        <w:r w:rsidR="00B25544">
          <w:rPr>
            <w:noProof/>
          </w:rPr>
          <w:t>4</w:t>
        </w:r>
      </w:fldSimple>
      <w:r>
        <w:t xml:space="preserve">: </w:t>
      </w:r>
      <w:r w:rsidRPr="004733AA">
        <w:t>Rates of tenure change in West Wittering, 2001-2011</w:t>
      </w:r>
    </w:p>
    <w:tbl>
      <w:tblPr>
        <w:tblW w:w="6389" w:type="dxa"/>
        <w:tblInd w:w="98" w:type="dxa"/>
        <w:tblLook w:val="04A0" w:firstRow="1" w:lastRow="0" w:firstColumn="1" w:lastColumn="0" w:noHBand="0" w:noVBand="1"/>
      </w:tblPr>
      <w:tblGrid>
        <w:gridCol w:w="1995"/>
        <w:gridCol w:w="1701"/>
        <w:gridCol w:w="1417"/>
        <w:gridCol w:w="1276"/>
      </w:tblGrid>
      <w:tr w:rsidR="00C8167D" w:rsidRPr="00C8167D" w:rsidTr="00C8167D">
        <w:trPr>
          <w:trHeight w:val="240"/>
        </w:trPr>
        <w:tc>
          <w:tcPr>
            <w:tcW w:w="19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Tenure</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West Wittering</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Chichester</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b/>
                <w:bCs/>
                <w:color w:val="000000"/>
                <w:kern w:val="0"/>
                <w:lang w:eastAsia="en-GB"/>
              </w:rPr>
            </w:pPr>
            <w:r w:rsidRPr="00C8167D">
              <w:rPr>
                <w:rFonts w:ascii="Arial" w:eastAsia="Times New Roman" w:hAnsi="Arial" w:cs="Arial"/>
                <w:b/>
                <w:bCs/>
                <w:color w:val="000000"/>
                <w:kern w:val="0"/>
                <w:lang w:eastAsia="en-GB"/>
              </w:rPr>
              <w:t>England</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Owned; total</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-2.4%</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4.2%</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-0.6%</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 xml:space="preserve">Shared ownership </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33.3%</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138.2%</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30.0%</w:t>
            </w:r>
          </w:p>
        </w:tc>
      </w:tr>
      <w:tr w:rsidR="00C8167D" w:rsidRPr="00C8167D" w:rsidTr="00C8167D">
        <w:trPr>
          <w:trHeight w:val="228"/>
        </w:trPr>
        <w:tc>
          <w:tcPr>
            <w:tcW w:w="1995" w:type="dxa"/>
            <w:tcBorders>
              <w:top w:val="nil"/>
              <w:left w:val="single" w:sz="8" w:space="0" w:color="auto"/>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Social rented; total</w:t>
            </w:r>
          </w:p>
        </w:tc>
        <w:tc>
          <w:tcPr>
            <w:tcW w:w="1701"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10.9%</w:t>
            </w:r>
          </w:p>
        </w:tc>
        <w:tc>
          <w:tcPr>
            <w:tcW w:w="1417" w:type="dxa"/>
            <w:tcBorders>
              <w:top w:val="nil"/>
              <w:left w:val="nil"/>
              <w:bottom w:val="single" w:sz="4"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10.0%</w:t>
            </w:r>
          </w:p>
        </w:tc>
        <w:tc>
          <w:tcPr>
            <w:tcW w:w="1276" w:type="dxa"/>
            <w:tcBorders>
              <w:top w:val="nil"/>
              <w:left w:val="nil"/>
              <w:bottom w:val="single" w:sz="4"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-0.9%</w:t>
            </w:r>
          </w:p>
        </w:tc>
      </w:tr>
      <w:tr w:rsidR="00C8167D" w:rsidRPr="00C8167D" w:rsidTr="00C8167D">
        <w:trPr>
          <w:trHeight w:val="240"/>
        </w:trPr>
        <w:tc>
          <w:tcPr>
            <w:tcW w:w="1995" w:type="dxa"/>
            <w:tcBorders>
              <w:top w:val="nil"/>
              <w:left w:val="single" w:sz="8" w:space="0" w:color="auto"/>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Private rented; total</w:t>
            </w:r>
          </w:p>
        </w:tc>
        <w:tc>
          <w:tcPr>
            <w:tcW w:w="1701" w:type="dxa"/>
            <w:tcBorders>
              <w:top w:val="nil"/>
              <w:left w:val="nil"/>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65.9%</w:t>
            </w:r>
          </w:p>
        </w:tc>
        <w:tc>
          <w:tcPr>
            <w:tcW w:w="1417" w:type="dxa"/>
            <w:tcBorders>
              <w:top w:val="nil"/>
              <w:left w:val="nil"/>
              <w:bottom w:val="single" w:sz="8" w:space="0" w:color="auto"/>
              <w:right w:val="single" w:sz="4"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76.7%</w:t>
            </w:r>
          </w:p>
        </w:tc>
        <w:tc>
          <w:tcPr>
            <w:tcW w:w="1276" w:type="dxa"/>
            <w:tcBorders>
              <w:top w:val="nil"/>
              <w:left w:val="nil"/>
              <w:bottom w:val="single" w:sz="8" w:space="0" w:color="auto"/>
              <w:right w:val="single" w:sz="8" w:space="0" w:color="auto"/>
            </w:tcBorders>
            <w:shd w:val="clear" w:color="auto" w:fill="auto"/>
            <w:noWrap/>
            <w:vAlign w:val="bottom"/>
            <w:hideMark/>
          </w:tcPr>
          <w:p w:rsidR="00C8167D" w:rsidRPr="00C8167D" w:rsidRDefault="00C8167D" w:rsidP="00C8167D">
            <w:pPr>
              <w:tabs>
                <w:tab w:val="clear" w:pos="284"/>
              </w:tabs>
              <w:spacing w:line="240" w:lineRule="auto"/>
              <w:jc w:val="right"/>
              <w:rPr>
                <w:rFonts w:ascii="Arial" w:eastAsia="Times New Roman" w:hAnsi="Arial" w:cs="Arial"/>
                <w:color w:val="000000"/>
                <w:kern w:val="0"/>
                <w:lang w:eastAsia="en-GB"/>
              </w:rPr>
            </w:pPr>
            <w:r w:rsidRPr="00C8167D">
              <w:rPr>
                <w:rFonts w:ascii="Arial" w:eastAsia="Times New Roman" w:hAnsi="Arial" w:cs="Arial"/>
                <w:color w:val="000000"/>
                <w:kern w:val="0"/>
                <w:lang w:eastAsia="en-GB"/>
              </w:rPr>
              <w:t>82.4%</w:t>
            </w:r>
          </w:p>
        </w:tc>
      </w:tr>
    </w:tbl>
    <w:p w:rsidR="00C8167D" w:rsidRPr="00C8167D" w:rsidRDefault="00C8167D" w:rsidP="00C26717">
      <w:pPr>
        <w:pStyle w:val="Source"/>
      </w:pPr>
      <w:r>
        <w:t>So</w:t>
      </w:r>
      <w:r w:rsidRPr="00C8167D">
        <w:t xml:space="preserve">urce: Census </w:t>
      </w:r>
      <w:r>
        <w:t xml:space="preserve">2001 and </w:t>
      </w:r>
      <w:r w:rsidRPr="00C8167D">
        <w:t xml:space="preserve">2011, AECOM </w:t>
      </w:r>
      <w:r w:rsidR="0028437E">
        <w:t>c</w:t>
      </w:r>
      <w:r w:rsidRPr="00C8167D">
        <w:t>alculations</w:t>
      </w:r>
    </w:p>
    <w:p w:rsidR="00C8167D" w:rsidRPr="00B42E2A" w:rsidRDefault="00C8167D" w:rsidP="0028000E">
      <w:pPr>
        <w:pStyle w:val="ListNumber"/>
        <w:numPr>
          <w:ilvl w:val="0"/>
          <w:numId w:val="0"/>
        </w:numPr>
        <w:ind w:left="425" w:hanging="425"/>
        <w:rPr>
          <w:color w:val="000000" w:themeColor="text1"/>
          <w:u w:val="single"/>
        </w:rPr>
      </w:pPr>
    </w:p>
    <w:p w:rsidR="0028000E" w:rsidRDefault="00B42E2A" w:rsidP="00C26717">
      <w:pPr>
        <w:pStyle w:val="Heading2"/>
        <w:rPr>
          <w:lang w:val="en-US"/>
        </w:rPr>
      </w:pPr>
      <w:bookmarkStart w:id="100" w:name="_Toc504464739"/>
      <w:r w:rsidRPr="00B42E2A">
        <w:rPr>
          <w:lang w:val="en-US"/>
        </w:rPr>
        <w:lastRenderedPageBreak/>
        <w:t xml:space="preserve">Age </w:t>
      </w:r>
      <w:r w:rsidR="0028437E">
        <w:rPr>
          <w:lang w:val="en-US"/>
        </w:rPr>
        <w:t>s</w:t>
      </w:r>
      <w:r w:rsidRPr="00B42E2A">
        <w:rPr>
          <w:lang w:val="en-US"/>
        </w:rPr>
        <w:t>tructure</w:t>
      </w:r>
      <w:bookmarkEnd w:id="100"/>
      <w:r w:rsidRPr="00B42E2A">
        <w:rPr>
          <w:lang w:val="en-US"/>
        </w:rPr>
        <w:t xml:space="preserve"> </w:t>
      </w:r>
    </w:p>
    <w:p w:rsidR="00DB4B75" w:rsidRPr="00DB4B75" w:rsidRDefault="00DB4B75" w:rsidP="00C26717">
      <w:pPr>
        <w:pStyle w:val="ListNumber"/>
        <w:rPr>
          <w:lang w:val="en-US"/>
        </w:rPr>
      </w:pPr>
      <w:r w:rsidRPr="00DB4B75">
        <w:rPr>
          <w:lang w:val="en-US"/>
        </w:rPr>
        <w:t xml:space="preserve">Figure </w:t>
      </w:r>
      <w:r w:rsidR="00DC7A83">
        <w:rPr>
          <w:lang w:val="en-US"/>
        </w:rPr>
        <w:t>3</w:t>
      </w:r>
      <w:r>
        <w:rPr>
          <w:lang w:val="en-US"/>
        </w:rPr>
        <w:t xml:space="preserve"> below </w:t>
      </w:r>
      <w:proofErr w:type="gramStart"/>
      <w:r>
        <w:rPr>
          <w:lang w:val="en-US"/>
        </w:rPr>
        <w:t>presents</w:t>
      </w:r>
      <w:proofErr w:type="gramEnd"/>
      <w:r>
        <w:rPr>
          <w:lang w:val="en-US"/>
        </w:rPr>
        <w:t xml:space="preserve"> age structure data for the geographies of West </w:t>
      </w:r>
      <w:proofErr w:type="spellStart"/>
      <w:r>
        <w:rPr>
          <w:lang w:val="en-US"/>
        </w:rPr>
        <w:t>Wittering</w:t>
      </w:r>
      <w:proofErr w:type="spellEnd"/>
      <w:r>
        <w:rPr>
          <w:lang w:val="en-US"/>
        </w:rPr>
        <w:t xml:space="preserve"> together with the local authority and England. This shows some striking contrasts, in particular the massive preponderance of older people and the relative under-representation of younger people in the </w:t>
      </w:r>
      <w:r w:rsidR="005F5CF8">
        <w:rPr>
          <w:lang w:val="en-US"/>
        </w:rPr>
        <w:t>Parish</w:t>
      </w:r>
      <w:r>
        <w:rPr>
          <w:lang w:val="en-US"/>
        </w:rPr>
        <w:t xml:space="preserve"> when compared with these other geographies. Those aged over 65 make up some 42% of the population, whereas those aged between 0 and 44 constitute roughly 31% of the population. The representation of those aged 45-65 are however sim</w:t>
      </w:r>
      <w:r w:rsidR="00C30280">
        <w:rPr>
          <w:lang w:val="en-US"/>
        </w:rPr>
        <w:t>i</w:t>
      </w:r>
      <w:r>
        <w:rPr>
          <w:lang w:val="en-US"/>
        </w:rPr>
        <w:t xml:space="preserve">lar other the other geographies.  </w:t>
      </w:r>
    </w:p>
    <w:p w:rsidR="00C26717" w:rsidRDefault="00C26717" w:rsidP="00C26717">
      <w:pPr>
        <w:pStyle w:val="Caption"/>
      </w:pPr>
      <w:r>
        <w:t xml:space="preserve">Figure </w:t>
      </w:r>
      <w:fldSimple w:instr=" SEQ Figure \* ARABIC ">
        <w:r w:rsidR="00A258B5">
          <w:rPr>
            <w:noProof/>
          </w:rPr>
          <w:t>3</w:t>
        </w:r>
      </w:fldSimple>
      <w:r>
        <w:t xml:space="preserve">: </w:t>
      </w:r>
      <w:r w:rsidRPr="00996482">
        <w:t xml:space="preserve">Age </w:t>
      </w:r>
      <w:r w:rsidR="0028437E">
        <w:t>s</w:t>
      </w:r>
      <w:r w:rsidRPr="00996482">
        <w:t>tructure</w:t>
      </w:r>
    </w:p>
    <w:p w:rsidR="00B42E2A" w:rsidRPr="00B42E2A" w:rsidRDefault="00B42E2A" w:rsidP="0028000E">
      <w:pPr>
        <w:pStyle w:val="ListNumber"/>
        <w:numPr>
          <w:ilvl w:val="0"/>
          <w:numId w:val="0"/>
        </w:numPr>
        <w:ind w:left="425" w:hanging="425"/>
        <w:rPr>
          <w:bCs/>
          <w:iCs/>
          <w:color w:val="000000" w:themeColor="text1"/>
          <w:u w:val="single"/>
          <w:lang w:val="en-US"/>
        </w:rPr>
      </w:pPr>
      <w:r>
        <w:rPr>
          <w:noProof/>
          <w:lang w:eastAsia="en-GB"/>
        </w:rPr>
        <w:drawing>
          <wp:inline distT="0" distB="0" distL="0" distR="0" wp14:anchorId="4907527C" wp14:editId="38F43E22">
            <wp:extent cx="4611757" cy="2027582"/>
            <wp:effectExtent l="0" t="0" r="1778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2E2A" w:rsidRDefault="00DB4B75" w:rsidP="00C26717">
      <w:pPr>
        <w:pStyle w:val="Source"/>
        <w:rPr>
          <w:lang w:val="en-US"/>
        </w:rPr>
      </w:pPr>
      <w:r w:rsidRPr="00DB4B75">
        <w:rPr>
          <w:lang w:val="en-US"/>
        </w:rPr>
        <w:t xml:space="preserve">Source: Census 2011, AECOM </w:t>
      </w:r>
      <w:r w:rsidR="0028437E">
        <w:rPr>
          <w:lang w:val="en-US"/>
        </w:rPr>
        <w:t>c</w:t>
      </w:r>
      <w:r w:rsidRPr="00DB4B75">
        <w:rPr>
          <w:lang w:val="en-US"/>
        </w:rPr>
        <w:t xml:space="preserve">alculations </w:t>
      </w:r>
    </w:p>
    <w:p w:rsidR="00C30280" w:rsidRPr="00C26717" w:rsidRDefault="00C26717" w:rsidP="00C26717">
      <w:pPr>
        <w:pStyle w:val="ListNumber"/>
        <w:rPr>
          <w:lang w:eastAsia="en-GB"/>
        </w:rPr>
      </w:pPr>
      <w:r>
        <w:rPr>
          <w:lang w:eastAsia="en-GB"/>
        </w:rPr>
        <w:t xml:space="preserve">Table 5 </w:t>
      </w:r>
      <w:r w:rsidR="00C30280" w:rsidRPr="00C30280">
        <w:rPr>
          <w:lang w:eastAsia="en-GB"/>
        </w:rPr>
        <w:t xml:space="preserve">below provide a longitudinal perspective, recording how the population has shifted during the inter-censual period. </w:t>
      </w:r>
      <w:r w:rsidR="00C30280">
        <w:rPr>
          <w:lang w:eastAsia="en-GB"/>
        </w:rPr>
        <w:t xml:space="preserve">All age groups, bar those aged over 65, have seen a fall in numbers. Indeed, the overall population has fallen from 2,792 in 2001 to 2,700 in 2011. </w:t>
      </w:r>
    </w:p>
    <w:p w:rsidR="00C26717" w:rsidRDefault="00C26717" w:rsidP="00C26717">
      <w:pPr>
        <w:pStyle w:val="Caption"/>
      </w:pPr>
      <w:r>
        <w:t xml:space="preserve">Table </w:t>
      </w:r>
      <w:fldSimple w:instr=" SEQ Table \* ARABIC ">
        <w:r w:rsidR="00B25544">
          <w:rPr>
            <w:noProof/>
          </w:rPr>
          <w:t>5</w:t>
        </w:r>
      </w:fldSimple>
      <w:r>
        <w:t xml:space="preserve">: </w:t>
      </w:r>
      <w:r w:rsidRPr="00C05D32">
        <w:t>Rate of change in the age structure of the population of West Wittering, 2001-2011</w:t>
      </w:r>
    </w:p>
    <w:tbl>
      <w:tblPr>
        <w:tblW w:w="7240" w:type="dxa"/>
        <w:tblInd w:w="98" w:type="dxa"/>
        <w:tblLook w:val="04A0" w:firstRow="1" w:lastRow="0" w:firstColumn="1" w:lastColumn="0" w:noHBand="0" w:noVBand="1"/>
      </w:tblPr>
      <w:tblGrid>
        <w:gridCol w:w="1853"/>
        <w:gridCol w:w="1985"/>
        <w:gridCol w:w="1701"/>
        <w:gridCol w:w="1701"/>
      </w:tblGrid>
      <w:tr w:rsidR="00C30280" w:rsidRPr="00C30280" w:rsidTr="00C30280">
        <w:trPr>
          <w:trHeight w:val="240"/>
        </w:trPr>
        <w:tc>
          <w:tcPr>
            <w:tcW w:w="18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b/>
                <w:bCs/>
                <w:color w:val="000000"/>
                <w:kern w:val="0"/>
                <w:lang w:eastAsia="en-GB"/>
              </w:rPr>
            </w:pPr>
            <w:r w:rsidRPr="00C30280">
              <w:rPr>
                <w:rFonts w:ascii="Arial" w:eastAsia="Times New Roman" w:hAnsi="Arial" w:cs="Arial"/>
                <w:b/>
                <w:bCs/>
                <w:color w:val="000000"/>
                <w:kern w:val="0"/>
                <w:lang w:eastAsia="en-GB"/>
              </w:rPr>
              <w:t>Age group</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b/>
                <w:bCs/>
                <w:color w:val="000000"/>
                <w:kern w:val="0"/>
                <w:lang w:eastAsia="en-GB"/>
              </w:rPr>
            </w:pPr>
            <w:r w:rsidRPr="00C30280">
              <w:rPr>
                <w:rFonts w:ascii="Arial" w:eastAsia="Times New Roman" w:hAnsi="Arial" w:cs="Arial"/>
                <w:b/>
                <w:bCs/>
                <w:color w:val="000000"/>
                <w:kern w:val="0"/>
                <w:lang w:eastAsia="en-GB"/>
              </w:rPr>
              <w:t>West Wittering</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b/>
                <w:bCs/>
                <w:color w:val="000000"/>
                <w:kern w:val="0"/>
                <w:lang w:eastAsia="en-GB"/>
              </w:rPr>
            </w:pPr>
            <w:r w:rsidRPr="00C30280">
              <w:rPr>
                <w:rFonts w:ascii="Arial" w:eastAsia="Times New Roman" w:hAnsi="Arial" w:cs="Arial"/>
                <w:b/>
                <w:bCs/>
                <w:color w:val="000000"/>
                <w:kern w:val="0"/>
                <w:lang w:eastAsia="en-GB"/>
              </w:rPr>
              <w:t>Chichester</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b/>
                <w:bCs/>
                <w:color w:val="000000"/>
                <w:kern w:val="0"/>
                <w:lang w:eastAsia="en-GB"/>
              </w:rPr>
            </w:pPr>
            <w:r w:rsidRPr="00C30280">
              <w:rPr>
                <w:rFonts w:ascii="Arial" w:eastAsia="Times New Roman" w:hAnsi="Arial" w:cs="Arial"/>
                <w:b/>
                <w:bCs/>
                <w:color w:val="000000"/>
                <w:kern w:val="0"/>
                <w:lang w:eastAsia="en-GB"/>
              </w:rPr>
              <w:t>England</w:t>
            </w:r>
          </w:p>
        </w:tc>
      </w:tr>
      <w:tr w:rsidR="00C30280" w:rsidRPr="00C30280" w:rsidTr="00C30280">
        <w:trPr>
          <w:trHeight w:val="228"/>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0-15</w:t>
            </w:r>
          </w:p>
        </w:tc>
        <w:tc>
          <w:tcPr>
            <w:tcW w:w="1985"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-5.2%</w:t>
            </w:r>
          </w:p>
        </w:tc>
        <w:tc>
          <w:tcPr>
            <w:tcW w:w="1701"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-1.4%</w:t>
            </w:r>
          </w:p>
        </w:tc>
        <w:tc>
          <w:tcPr>
            <w:tcW w:w="1701" w:type="dxa"/>
            <w:tcBorders>
              <w:top w:val="nil"/>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1.2%</w:t>
            </w:r>
          </w:p>
        </w:tc>
      </w:tr>
      <w:tr w:rsidR="00C30280" w:rsidRPr="00C30280" w:rsidTr="00C30280">
        <w:trPr>
          <w:trHeight w:val="228"/>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16-24</w:t>
            </w:r>
          </w:p>
        </w:tc>
        <w:tc>
          <w:tcPr>
            <w:tcW w:w="1985"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-16.1%</w:t>
            </w:r>
          </w:p>
        </w:tc>
        <w:tc>
          <w:tcPr>
            <w:tcW w:w="1701"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15.7%</w:t>
            </w:r>
          </w:p>
        </w:tc>
        <w:tc>
          <w:tcPr>
            <w:tcW w:w="1701" w:type="dxa"/>
            <w:tcBorders>
              <w:top w:val="nil"/>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17.2%</w:t>
            </w:r>
          </w:p>
        </w:tc>
      </w:tr>
      <w:tr w:rsidR="00C30280" w:rsidRPr="00C30280" w:rsidTr="00C30280">
        <w:trPr>
          <w:trHeight w:val="228"/>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25-44</w:t>
            </w:r>
          </w:p>
        </w:tc>
        <w:tc>
          <w:tcPr>
            <w:tcW w:w="1985"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-7.1%</w:t>
            </w:r>
          </w:p>
        </w:tc>
        <w:tc>
          <w:tcPr>
            <w:tcW w:w="1701"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-3.9%</w:t>
            </w:r>
          </w:p>
        </w:tc>
        <w:tc>
          <w:tcPr>
            <w:tcW w:w="1701" w:type="dxa"/>
            <w:tcBorders>
              <w:top w:val="nil"/>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1.4%</w:t>
            </w:r>
          </w:p>
        </w:tc>
      </w:tr>
      <w:tr w:rsidR="00C30280" w:rsidRPr="00C30280" w:rsidTr="00C30280">
        <w:trPr>
          <w:trHeight w:val="228"/>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45-64</w:t>
            </w:r>
          </w:p>
        </w:tc>
        <w:tc>
          <w:tcPr>
            <w:tcW w:w="1985"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-7.5%</w:t>
            </w:r>
          </w:p>
        </w:tc>
        <w:tc>
          <w:tcPr>
            <w:tcW w:w="1701"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12.9%</w:t>
            </w:r>
          </w:p>
        </w:tc>
        <w:tc>
          <w:tcPr>
            <w:tcW w:w="1701" w:type="dxa"/>
            <w:tcBorders>
              <w:top w:val="nil"/>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15.2%</w:t>
            </w:r>
          </w:p>
        </w:tc>
      </w:tr>
      <w:tr w:rsidR="00C30280" w:rsidRPr="00C30280" w:rsidTr="00C30280">
        <w:trPr>
          <w:trHeight w:val="228"/>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65-84</w:t>
            </w:r>
          </w:p>
        </w:tc>
        <w:tc>
          <w:tcPr>
            <w:tcW w:w="1985"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0.8%</w:t>
            </w:r>
          </w:p>
        </w:tc>
        <w:tc>
          <w:tcPr>
            <w:tcW w:w="1701" w:type="dxa"/>
            <w:tcBorders>
              <w:top w:val="nil"/>
              <w:left w:val="nil"/>
              <w:bottom w:val="single" w:sz="4"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12.4%</w:t>
            </w:r>
          </w:p>
        </w:tc>
        <w:tc>
          <w:tcPr>
            <w:tcW w:w="1701" w:type="dxa"/>
            <w:tcBorders>
              <w:top w:val="nil"/>
              <w:left w:val="nil"/>
              <w:bottom w:val="single" w:sz="4"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9.1%</w:t>
            </w:r>
          </w:p>
        </w:tc>
      </w:tr>
      <w:tr w:rsidR="00C30280" w:rsidRPr="00C30280" w:rsidTr="00C30280">
        <w:trPr>
          <w:trHeight w:val="240"/>
        </w:trPr>
        <w:tc>
          <w:tcPr>
            <w:tcW w:w="1853" w:type="dxa"/>
            <w:tcBorders>
              <w:top w:val="nil"/>
              <w:left w:val="single" w:sz="8" w:space="0" w:color="auto"/>
              <w:bottom w:val="single" w:sz="8"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85 and over</w:t>
            </w:r>
          </w:p>
        </w:tc>
        <w:tc>
          <w:tcPr>
            <w:tcW w:w="1985" w:type="dxa"/>
            <w:tcBorders>
              <w:top w:val="nil"/>
              <w:left w:val="nil"/>
              <w:bottom w:val="single" w:sz="8"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21.5%</w:t>
            </w:r>
          </w:p>
        </w:tc>
        <w:tc>
          <w:tcPr>
            <w:tcW w:w="1701" w:type="dxa"/>
            <w:tcBorders>
              <w:top w:val="nil"/>
              <w:left w:val="nil"/>
              <w:bottom w:val="single" w:sz="8" w:space="0" w:color="auto"/>
              <w:right w:val="single" w:sz="4"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21.9%</w:t>
            </w:r>
          </w:p>
        </w:tc>
        <w:tc>
          <w:tcPr>
            <w:tcW w:w="1701" w:type="dxa"/>
            <w:tcBorders>
              <w:top w:val="nil"/>
              <w:left w:val="nil"/>
              <w:bottom w:val="single" w:sz="8" w:space="0" w:color="auto"/>
              <w:right w:val="single" w:sz="8" w:space="0" w:color="auto"/>
            </w:tcBorders>
            <w:shd w:val="clear" w:color="auto" w:fill="auto"/>
            <w:noWrap/>
            <w:vAlign w:val="bottom"/>
            <w:hideMark/>
          </w:tcPr>
          <w:p w:rsidR="00C30280" w:rsidRPr="00C30280" w:rsidRDefault="00C30280" w:rsidP="00C30280">
            <w:pPr>
              <w:tabs>
                <w:tab w:val="clear" w:pos="284"/>
              </w:tabs>
              <w:spacing w:line="240" w:lineRule="auto"/>
              <w:jc w:val="right"/>
              <w:rPr>
                <w:rFonts w:ascii="Arial" w:eastAsia="Times New Roman" w:hAnsi="Arial" w:cs="Arial"/>
                <w:color w:val="000000"/>
                <w:kern w:val="0"/>
                <w:lang w:eastAsia="en-GB"/>
              </w:rPr>
            </w:pPr>
            <w:r w:rsidRPr="00C30280">
              <w:rPr>
                <w:rFonts w:ascii="Arial" w:eastAsia="Times New Roman" w:hAnsi="Arial" w:cs="Arial"/>
                <w:color w:val="000000"/>
                <w:kern w:val="0"/>
                <w:lang w:eastAsia="en-GB"/>
              </w:rPr>
              <w:t>23.7%</w:t>
            </w:r>
          </w:p>
        </w:tc>
      </w:tr>
    </w:tbl>
    <w:p w:rsidR="00C30280" w:rsidRPr="001F62F6" w:rsidRDefault="00C30280" w:rsidP="00C26717">
      <w:pPr>
        <w:pStyle w:val="Source"/>
        <w:rPr>
          <w:lang w:val="en-US"/>
        </w:rPr>
      </w:pPr>
      <w:r w:rsidRPr="001F62F6">
        <w:rPr>
          <w:lang w:val="en-US"/>
        </w:rPr>
        <w:t xml:space="preserve">Source: Census 2001 and 2011, AECOM </w:t>
      </w:r>
      <w:r w:rsidR="0028437E">
        <w:rPr>
          <w:lang w:val="en-US"/>
        </w:rPr>
        <w:t>c</w:t>
      </w:r>
      <w:r w:rsidRPr="001F62F6">
        <w:rPr>
          <w:lang w:val="en-US"/>
        </w:rPr>
        <w:t>alculations</w:t>
      </w:r>
    </w:p>
    <w:p w:rsidR="001F62F6" w:rsidRPr="001F62F6" w:rsidRDefault="00C26717" w:rsidP="00C26717">
      <w:pPr>
        <w:pStyle w:val="ListNumber"/>
        <w:rPr>
          <w:lang w:val="en-US"/>
        </w:rPr>
      </w:pPr>
      <w:r>
        <w:rPr>
          <w:lang w:val="en-US"/>
        </w:rPr>
        <w:t>Table 6</w:t>
      </w:r>
      <w:r w:rsidR="001F62F6" w:rsidRPr="001F62F6">
        <w:rPr>
          <w:lang w:val="en-US"/>
        </w:rPr>
        <w:t xml:space="preserve"> reproduces Table 3 from ROAHN14 in which projections for how the age structure at the </w:t>
      </w:r>
      <w:r w:rsidR="005F5CF8">
        <w:rPr>
          <w:lang w:val="en-US"/>
        </w:rPr>
        <w:t>District</w:t>
      </w:r>
      <w:r w:rsidR="001F62F6" w:rsidRPr="001F62F6">
        <w:rPr>
          <w:lang w:val="en-US"/>
        </w:rPr>
        <w:t xml:space="preserve"> level will change </w:t>
      </w:r>
      <w:r w:rsidR="00F3022F">
        <w:rPr>
          <w:lang w:val="en-US"/>
        </w:rPr>
        <w:t xml:space="preserve">between the years 2013 and 2029 </w:t>
      </w:r>
      <w:r w:rsidR="001F62F6" w:rsidRPr="001F62F6">
        <w:rPr>
          <w:lang w:val="en-US"/>
        </w:rPr>
        <w:t xml:space="preserve">are set out. </w:t>
      </w:r>
      <w:r w:rsidR="001F62F6">
        <w:rPr>
          <w:lang w:val="en-US"/>
        </w:rPr>
        <w:t xml:space="preserve">At the </w:t>
      </w:r>
      <w:r w:rsidR="005F5CF8">
        <w:rPr>
          <w:lang w:val="en-US"/>
        </w:rPr>
        <w:t>District</w:t>
      </w:r>
      <w:r w:rsidR="001F62F6">
        <w:rPr>
          <w:lang w:val="en-US"/>
        </w:rPr>
        <w:t xml:space="preserve"> level the loss of those falling into younger age group</w:t>
      </w:r>
      <w:r w:rsidR="00F3022F">
        <w:rPr>
          <w:lang w:val="en-US"/>
        </w:rPr>
        <w:t xml:space="preserve">s is less pronounced than in West </w:t>
      </w:r>
      <w:proofErr w:type="spellStart"/>
      <w:r w:rsidR="00F3022F">
        <w:rPr>
          <w:lang w:val="en-US"/>
        </w:rPr>
        <w:t>Wittering</w:t>
      </w:r>
      <w:proofErr w:type="spellEnd"/>
      <w:r w:rsidR="001F62F6">
        <w:rPr>
          <w:lang w:val="en-US"/>
        </w:rPr>
        <w:t xml:space="preserve"> with some, for example those of school age, aged 10-14 years of age (</w:t>
      </w:r>
      <w:proofErr w:type="spellStart"/>
      <w:r w:rsidR="001F62F6">
        <w:rPr>
          <w:lang w:val="en-US"/>
        </w:rPr>
        <w:t>yoa</w:t>
      </w:r>
      <w:proofErr w:type="spellEnd"/>
      <w:r w:rsidR="001F62F6">
        <w:rPr>
          <w:lang w:val="en-US"/>
        </w:rPr>
        <w:t>)</w:t>
      </w:r>
      <w:r w:rsidR="00F3022F">
        <w:rPr>
          <w:lang w:val="en-US"/>
        </w:rPr>
        <w:t xml:space="preserve"> increasing in number; this is matched </w:t>
      </w:r>
      <w:r w:rsidR="000F6FE4">
        <w:rPr>
          <w:lang w:val="en-US"/>
        </w:rPr>
        <w:t xml:space="preserve">a commensurate increase in adults in their late thirties. The majority however of the increase in population is made up of people over the age of 65; the total increase in those falling into these age groups totals 10,958 of a total increase of 14,568, or 75%. </w:t>
      </w:r>
    </w:p>
    <w:p w:rsidR="001F62F6" w:rsidRPr="001F62F6" w:rsidRDefault="001F62F6" w:rsidP="001F62F6">
      <w:pPr>
        <w:pStyle w:val="ListNumber"/>
        <w:numPr>
          <w:ilvl w:val="0"/>
          <w:numId w:val="0"/>
        </w:numPr>
        <w:spacing w:after="0"/>
        <w:ind w:left="425" w:hanging="425"/>
        <w:rPr>
          <w:bCs/>
          <w:iCs/>
          <w:color w:val="000000" w:themeColor="text1"/>
          <w:lang w:val="en-US"/>
        </w:rPr>
      </w:pPr>
    </w:p>
    <w:p w:rsidR="00C26717" w:rsidRDefault="00C26717" w:rsidP="00C26717">
      <w:pPr>
        <w:pStyle w:val="Caption"/>
      </w:pPr>
      <w:r>
        <w:lastRenderedPageBreak/>
        <w:t xml:space="preserve">Table </w:t>
      </w:r>
      <w:fldSimple w:instr=" SEQ Table \* ARABIC ">
        <w:r w:rsidR="00B25544">
          <w:rPr>
            <w:noProof/>
          </w:rPr>
          <w:t>6</w:t>
        </w:r>
      </w:fldSimple>
      <w:r>
        <w:t xml:space="preserve">: </w:t>
      </w:r>
      <w:r w:rsidRPr="00410D66">
        <w:t>Population change 2013 to 2029 by five year age bands – Chichester</w:t>
      </w:r>
    </w:p>
    <w:p w:rsidR="001F62F6" w:rsidRPr="001F62F6" w:rsidRDefault="001F62F6" w:rsidP="001F62F6">
      <w:pPr>
        <w:pStyle w:val="ListNumber"/>
        <w:numPr>
          <w:ilvl w:val="0"/>
          <w:numId w:val="0"/>
        </w:numPr>
        <w:spacing w:after="0"/>
        <w:ind w:left="425" w:hanging="425"/>
        <w:rPr>
          <w:b/>
          <w:bCs/>
          <w:iCs/>
          <w:color w:val="000000" w:themeColor="text1"/>
          <w:lang w:val="en-US"/>
        </w:rPr>
      </w:pPr>
      <w:r w:rsidRPr="001F62F6">
        <w:rPr>
          <w:b/>
          <w:bCs/>
          <w:iCs/>
          <w:noProof/>
          <w:color w:val="000000" w:themeColor="text1"/>
          <w:lang w:eastAsia="en-GB"/>
        </w:rPr>
        <w:drawing>
          <wp:inline distT="0" distB="0" distL="0" distR="0" wp14:anchorId="0D006516" wp14:editId="6332C273">
            <wp:extent cx="4249712" cy="2534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Ntbl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9719" cy="2534482"/>
                    </a:xfrm>
                    <a:prstGeom prst="rect">
                      <a:avLst/>
                    </a:prstGeom>
                  </pic:spPr>
                </pic:pic>
              </a:graphicData>
            </a:graphic>
          </wp:inline>
        </w:drawing>
      </w:r>
    </w:p>
    <w:p w:rsidR="00C30280" w:rsidRPr="001F62F6" w:rsidRDefault="001F62F6" w:rsidP="001F62F6">
      <w:pPr>
        <w:pStyle w:val="ListNumber"/>
        <w:numPr>
          <w:ilvl w:val="0"/>
          <w:numId w:val="0"/>
        </w:numPr>
        <w:spacing w:after="0"/>
        <w:ind w:left="425" w:hanging="425"/>
        <w:rPr>
          <w:bCs/>
          <w:i/>
          <w:iCs/>
          <w:color w:val="000000" w:themeColor="text1"/>
          <w:lang w:val="en-US"/>
        </w:rPr>
      </w:pPr>
      <w:r w:rsidRPr="001F62F6">
        <w:rPr>
          <w:bCs/>
          <w:i/>
          <w:iCs/>
          <w:color w:val="000000" w:themeColor="text1"/>
          <w:lang w:val="en-US"/>
        </w:rPr>
        <w:t>Source: ONS</w:t>
      </w:r>
    </w:p>
    <w:p w:rsidR="001F62F6" w:rsidRPr="00C16620" w:rsidRDefault="001F62F6" w:rsidP="0028000E">
      <w:pPr>
        <w:pStyle w:val="ListNumber"/>
        <w:numPr>
          <w:ilvl w:val="0"/>
          <w:numId w:val="0"/>
        </w:numPr>
        <w:ind w:left="425" w:hanging="425"/>
        <w:rPr>
          <w:bCs/>
          <w:iCs/>
          <w:color w:val="000000" w:themeColor="text1"/>
          <w:lang w:val="en-US"/>
        </w:rPr>
      </w:pPr>
    </w:p>
    <w:p w:rsidR="001F62F6" w:rsidRPr="009149D7" w:rsidRDefault="00C16620" w:rsidP="009149D7">
      <w:pPr>
        <w:pStyle w:val="ListNumber"/>
        <w:rPr>
          <w:lang w:val="en-US"/>
        </w:rPr>
      </w:pPr>
      <w:r w:rsidRPr="00C16620">
        <w:rPr>
          <w:lang w:val="en-US"/>
        </w:rPr>
        <w:t xml:space="preserve">Bringing together our findings relating to age structure, the NPA already has a strong representation of those falling into older age categories, with 42% aged 65+ at the time of the last Census; it also shows an under-representation of those aged under 44, with large disparities with </w:t>
      </w:r>
      <w:r w:rsidR="005F5CF8">
        <w:rPr>
          <w:lang w:val="en-US"/>
        </w:rPr>
        <w:t>District</w:t>
      </w:r>
      <w:r w:rsidRPr="00C16620">
        <w:rPr>
          <w:lang w:val="en-US"/>
        </w:rPr>
        <w:t xml:space="preserve"> and national geographies. Using </w:t>
      </w:r>
      <w:r w:rsidR="005F5CF8">
        <w:rPr>
          <w:lang w:val="en-US"/>
        </w:rPr>
        <w:t>District</w:t>
      </w:r>
      <w:r w:rsidRPr="00C16620">
        <w:rPr>
          <w:lang w:val="en-US"/>
        </w:rPr>
        <w:t xml:space="preserve"> level data as a guide to future trends, these characteristics are likely to become more pronounced over the </w:t>
      </w:r>
      <w:r w:rsidR="000375DA">
        <w:rPr>
          <w:lang w:val="en-US"/>
        </w:rPr>
        <w:t>Plan period</w:t>
      </w:r>
      <w:r w:rsidRPr="00C16620">
        <w:rPr>
          <w:lang w:val="en-US"/>
        </w:rPr>
        <w:t xml:space="preserve">. The </w:t>
      </w:r>
      <w:r w:rsidR="005F5CF8">
        <w:rPr>
          <w:lang w:val="en-US"/>
        </w:rPr>
        <w:t>District</w:t>
      </w:r>
      <w:r w:rsidRPr="00C16620">
        <w:rPr>
          <w:lang w:val="en-US"/>
        </w:rPr>
        <w:t xml:space="preserve"> data shows a substantial increase in the population of those aged 65+; given the population of the NPA already exhibits a strongly aging population, a reasonable conclusion would be that trends forecast for the </w:t>
      </w:r>
      <w:r w:rsidR="005F5CF8">
        <w:rPr>
          <w:lang w:val="en-US"/>
        </w:rPr>
        <w:t>District</w:t>
      </w:r>
      <w:r w:rsidRPr="00C16620">
        <w:rPr>
          <w:lang w:val="en-US"/>
        </w:rPr>
        <w:t xml:space="preserve"> are likely to be more extreme in West </w:t>
      </w:r>
      <w:proofErr w:type="spellStart"/>
      <w:r w:rsidRPr="00C16620">
        <w:rPr>
          <w:lang w:val="en-US"/>
        </w:rPr>
        <w:t>Wittering</w:t>
      </w:r>
      <w:proofErr w:type="spellEnd"/>
      <w:r w:rsidRPr="00C16620">
        <w:rPr>
          <w:lang w:val="en-US"/>
        </w:rPr>
        <w:t xml:space="preserve">. </w:t>
      </w:r>
    </w:p>
    <w:p w:rsidR="00C16620" w:rsidRPr="009149D7" w:rsidRDefault="00C16620" w:rsidP="009149D7">
      <w:pPr>
        <w:pStyle w:val="Heading2"/>
        <w:rPr>
          <w:lang w:val="en-US"/>
        </w:rPr>
      </w:pPr>
      <w:bookmarkStart w:id="101" w:name="_Toc504464740"/>
      <w:r w:rsidRPr="009149D7">
        <w:rPr>
          <w:lang w:val="en-US"/>
        </w:rPr>
        <w:t>Household composition</w:t>
      </w:r>
      <w:bookmarkEnd w:id="101"/>
    </w:p>
    <w:p w:rsidR="008F3BE0" w:rsidRPr="008F3BE0" w:rsidRDefault="009149D7" w:rsidP="009149D7">
      <w:pPr>
        <w:pStyle w:val="ListNumber"/>
        <w:rPr>
          <w:lang w:val="en-US"/>
        </w:rPr>
      </w:pPr>
      <w:r>
        <w:rPr>
          <w:lang w:val="en-US"/>
        </w:rPr>
        <w:t>In Table 7</w:t>
      </w:r>
      <w:r w:rsidR="008F3BE0" w:rsidRPr="008F3BE0">
        <w:rPr>
          <w:lang w:val="en-US"/>
        </w:rPr>
        <w:t xml:space="preserve"> below we present data relating to household composition; the proportion of the population </w:t>
      </w:r>
      <w:r w:rsidR="006C05E0">
        <w:rPr>
          <w:lang w:val="en-US"/>
        </w:rPr>
        <w:t>who reported living</w:t>
      </w:r>
      <w:r w:rsidR="008F3BE0" w:rsidRPr="008F3BE0">
        <w:rPr>
          <w:lang w:val="en-US"/>
        </w:rPr>
        <w:t xml:space="preserve"> alone in West </w:t>
      </w:r>
      <w:proofErr w:type="spellStart"/>
      <w:r w:rsidR="008F3BE0" w:rsidRPr="008F3BE0">
        <w:rPr>
          <w:lang w:val="en-US"/>
        </w:rPr>
        <w:t>Wittering</w:t>
      </w:r>
      <w:proofErr w:type="spellEnd"/>
      <w:r w:rsidR="008F3BE0" w:rsidRPr="008F3BE0">
        <w:rPr>
          <w:lang w:val="en-US"/>
        </w:rPr>
        <w:t xml:space="preserve"> </w:t>
      </w:r>
      <w:r w:rsidR="006C05E0">
        <w:rPr>
          <w:lang w:val="en-US"/>
        </w:rPr>
        <w:t xml:space="preserve">in 2011 was 37.5%, a figure that </w:t>
      </w:r>
      <w:r w:rsidR="008F3BE0" w:rsidRPr="008F3BE0">
        <w:rPr>
          <w:lang w:val="en-US"/>
        </w:rPr>
        <w:t xml:space="preserve">exceeds the </w:t>
      </w:r>
      <w:r w:rsidR="005F5CF8">
        <w:rPr>
          <w:lang w:val="en-US"/>
        </w:rPr>
        <w:t>District</w:t>
      </w:r>
      <w:r w:rsidR="008F3BE0" w:rsidRPr="008F3BE0">
        <w:rPr>
          <w:lang w:val="en-US"/>
        </w:rPr>
        <w:t xml:space="preserve"> by 5.5%. The large older population </w:t>
      </w:r>
      <w:r w:rsidR="006C05E0">
        <w:rPr>
          <w:lang w:val="en-US"/>
        </w:rPr>
        <w:t xml:space="preserve">seen in our examination of age structure </w:t>
      </w:r>
      <w:r w:rsidR="008F3BE0" w:rsidRPr="008F3BE0">
        <w:rPr>
          <w:lang w:val="en-US"/>
        </w:rPr>
        <w:t xml:space="preserve">is also picked up in data relating to household composition with </w:t>
      </w:r>
      <w:r w:rsidR="008F3BE0">
        <w:rPr>
          <w:lang w:val="en-US"/>
        </w:rPr>
        <w:t xml:space="preserve">a substantially larger proportion of both one-person and family households being aged 65 or over. </w:t>
      </w:r>
      <w:r w:rsidR="00CC200D">
        <w:rPr>
          <w:lang w:val="en-US"/>
        </w:rPr>
        <w:t>It is also notable that a substantially lower proportion of family households have dependent children, again suggesting a high</w:t>
      </w:r>
      <w:r w:rsidR="006C05E0">
        <w:rPr>
          <w:lang w:val="en-US"/>
        </w:rPr>
        <w:t>er</w:t>
      </w:r>
      <w:r w:rsidR="00CC200D">
        <w:rPr>
          <w:lang w:val="en-US"/>
        </w:rPr>
        <w:t xml:space="preserve"> representation </w:t>
      </w:r>
      <w:r w:rsidR="006C05E0">
        <w:rPr>
          <w:lang w:val="en-US"/>
        </w:rPr>
        <w:t xml:space="preserve">than the </w:t>
      </w:r>
      <w:r w:rsidR="005F5CF8">
        <w:rPr>
          <w:lang w:val="en-US"/>
        </w:rPr>
        <w:t>District</w:t>
      </w:r>
      <w:r w:rsidR="006C05E0">
        <w:rPr>
          <w:lang w:val="en-US"/>
        </w:rPr>
        <w:t xml:space="preserve"> </w:t>
      </w:r>
      <w:r w:rsidR="00CC200D">
        <w:rPr>
          <w:lang w:val="en-US"/>
        </w:rPr>
        <w:t xml:space="preserve">of ‘empty-nesters.’  </w:t>
      </w:r>
    </w:p>
    <w:p w:rsidR="009149D7" w:rsidRDefault="009149D7" w:rsidP="009149D7">
      <w:pPr>
        <w:pStyle w:val="Caption"/>
      </w:pPr>
      <w:r>
        <w:t xml:space="preserve">Table </w:t>
      </w:r>
      <w:fldSimple w:instr=" SEQ Table \* ARABIC ">
        <w:r w:rsidR="00B25544">
          <w:rPr>
            <w:noProof/>
          </w:rPr>
          <w:t>7</w:t>
        </w:r>
      </w:fldSimple>
      <w:r>
        <w:t xml:space="preserve">: </w:t>
      </w:r>
      <w:r w:rsidRPr="0039634F">
        <w:t>Household composition (by household) in West Wittering, 2011</w:t>
      </w:r>
    </w:p>
    <w:tbl>
      <w:tblPr>
        <w:tblW w:w="9260" w:type="dxa"/>
        <w:tblInd w:w="98" w:type="dxa"/>
        <w:tblLook w:val="04A0" w:firstRow="1" w:lastRow="0" w:firstColumn="1" w:lastColumn="0" w:noHBand="0" w:noVBand="1"/>
      </w:tblPr>
      <w:tblGrid>
        <w:gridCol w:w="2440"/>
        <w:gridCol w:w="2300"/>
        <w:gridCol w:w="1400"/>
        <w:gridCol w:w="1720"/>
        <w:gridCol w:w="1400"/>
      </w:tblGrid>
      <w:tr w:rsidR="008F3BE0" w:rsidRPr="008F3BE0" w:rsidTr="008F3BE0">
        <w:trPr>
          <w:trHeight w:val="240"/>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b/>
                <w:bCs/>
                <w:color w:val="000000"/>
                <w:kern w:val="0"/>
                <w:lang w:eastAsia="en-GB"/>
              </w:rPr>
            </w:pPr>
            <w:r w:rsidRPr="008F3BE0">
              <w:rPr>
                <w:rFonts w:ascii="Arial" w:eastAsia="Times New Roman" w:hAnsi="Arial" w:cs="Arial"/>
                <w:b/>
                <w:bCs/>
                <w:color w:val="000000"/>
                <w:kern w:val="0"/>
                <w:lang w:eastAsia="en-GB"/>
              </w:rPr>
              <w:t> </w:t>
            </w:r>
          </w:p>
        </w:tc>
        <w:tc>
          <w:tcPr>
            <w:tcW w:w="2300" w:type="dxa"/>
            <w:tcBorders>
              <w:top w:val="single" w:sz="8" w:space="0" w:color="auto"/>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b/>
                <w:bCs/>
                <w:color w:val="000000"/>
                <w:kern w:val="0"/>
                <w:lang w:eastAsia="en-GB"/>
              </w:rPr>
            </w:pPr>
            <w:r w:rsidRPr="008F3BE0">
              <w:rPr>
                <w:rFonts w:ascii="Arial" w:eastAsia="Times New Roman" w:hAnsi="Arial" w:cs="Arial"/>
                <w:b/>
                <w:bCs/>
                <w:color w:val="000000"/>
                <w:kern w:val="0"/>
                <w:lang w:eastAsia="en-GB"/>
              </w:rPr>
              <w:t> </w:t>
            </w:r>
          </w:p>
        </w:tc>
        <w:tc>
          <w:tcPr>
            <w:tcW w:w="1400" w:type="dxa"/>
            <w:tcBorders>
              <w:top w:val="single" w:sz="8" w:space="0" w:color="auto"/>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b/>
                <w:bCs/>
                <w:color w:val="000000"/>
                <w:kern w:val="0"/>
                <w:lang w:eastAsia="en-GB"/>
              </w:rPr>
            </w:pPr>
            <w:r w:rsidRPr="008F3BE0">
              <w:rPr>
                <w:rFonts w:ascii="Arial" w:eastAsia="Times New Roman" w:hAnsi="Arial" w:cs="Arial"/>
                <w:b/>
                <w:bCs/>
                <w:color w:val="000000"/>
                <w:kern w:val="0"/>
                <w:lang w:eastAsia="en-GB"/>
              </w:rPr>
              <w:t>West Wittering</w:t>
            </w:r>
          </w:p>
        </w:tc>
        <w:tc>
          <w:tcPr>
            <w:tcW w:w="1720" w:type="dxa"/>
            <w:tcBorders>
              <w:top w:val="single" w:sz="8" w:space="0" w:color="auto"/>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b/>
                <w:bCs/>
                <w:color w:val="000000"/>
                <w:kern w:val="0"/>
                <w:lang w:eastAsia="en-GB"/>
              </w:rPr>
            </w:pPr>
            <w:r w:rsidRPr="008F3BE0">
              <w:rPr>
                <w:rFonts w:ascii="Arial" w:eastAsia="Times New Roman" w:hAnsi="Arial" w:cs="Arial"/>
                <w:b/>
                <w:bCs/>
                <w:color w:val="000000"/>
                <w:kern w:val="0"/>
                <w:lang w:eastAsia="en-GB"/>
              </w:rPr>
              <w:t>Chichester</w:t>
            </w: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b/>
                <w:bCs/>
                <w:color w:val="000000"/>
                <w:kern w:val="0"/>
                <w:lang w:eastAsia="en-GB"/>
              </w:rPr>
            </w:pPr>
            <w:r w:rsidRPr="008F3BE0">
              <w:rPr>
                <w:rFonts w:ascii="Arial" w:eastAsia="Times New Roman" w:hAnsi="Arial" w:cs="Arial"/>
                <w:b/>
                <w:bCs/>
                <w:color w:val="000000"/>
                <w:kern w:val="0"/>
                <w:lang w:eastAsia="en-GB"/>
              </w:rPr>
              <w:t>England</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One person household</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Total</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37.5%</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32.0%</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30.2%</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Aged 65 and over</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26.6%</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17.3%</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12.4%</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Other</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10.9%</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14.7%</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17.9%</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One family only[1]</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Total</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58.2%</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61.8%</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61.8%</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All aged 65 and over</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21.3%</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12.6%</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8.1%</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With no children</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15.3%</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19.1%</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17.6%</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With dependent children</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13.0%</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22.1%</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26.5%</w:t>
            </w:r>
          </w:p>
        </w:tc>
      </w:tr>
      <w:tr w:rsidR="008F3BE0" w:rsidRPr="008F3BE0" w:rsidTr="008F3BE0">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All children Non-Dependent</w:t>
            </w:r>
          </w:p>
        </w:tc>
        <w:tc>
          <w:tcPr>
            <w:tcW w:w="140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8.6%</w:t>
            </w:r>
          </w:p>
        </w:tc>
        <w:tc>
          <w:tcPr>
            <w:tcW w:w="1720" w:type="dxa"/>
            <w:tcBorders>
              <w:top w:val="nil"/>
              <w:left w:val="nil"/>
              <w:bottom w:val="single" w:sz="4"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8.1%</w:t>
            </w:r>
          </w:p>
        </w:tc>
        <w:tc>
          <w:tcPr>
            <w:tcW w:w="1400" w:type="dxa"/>
            <w:tcBorders>
              <w:top w:val="nil"/>
              <w:left w:val="nil"/>
              <w:bottom w:val="single" w:sz="4"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9.6%</w:t>
            </w:r>
          </w:p>
        </w:tc>
      </w:tr>
      <w:tr w:rsidR="008F3BE0" w:rsidRPr="008F3BE0" w:rsidTr="008F3BE0">
        <w:trPr>
          <w:trHeight w:val="240"/>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Other household types</w:t>
            </w:r>
          </w:p>
        </w:tc>
        <w:tc>
          <w:tcPr>
            <w:tcW w:w="2300" w:type="dxa"/>
            <w:tcBorders>
              <w:top w:val="nil"/>
              <w:left w:val="nil"/>
              <w:bottom w:val="single" w:sz="8"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Total</w:t>
            </w:r>
          </w:p>
        </w:tc>
        <w:tc>
          <w:tcPr>
            <w:tcW w:w="1400" w:type="dxa"/>
            <w:tcBorders>
              <w:top w:val="nil"/>
              <w:left w:val="nil"/>
              <w:bottom w:val="single" w:sz="8"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4.3%</w:t>
            </w:r>
          </w:p>
        </w:tc>
        <w:tc>
          <w:tcPr>
            <w:tcW w:w="1720" w:type="dxa"/>
            <w:tcBorders>
              <w:top w:val="nil"/>
              <w:left w:val="nil"/>
              <w:bottom w:val="single" w:sz="8" w:space="0" w:color="auto"/>
              <w:right w:val="single" w:sz="4"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6.2%</w:t>
            </w:r>
          </w:p>
        </w:tc>
        <w:tc>
          <w:tcPr>
            <w:tcW w:w="1400" w:type="dxa"/>
            <w:tcBorders>
              <w:top w:val="nil"/>
              <w:left w:val="nil"/>
              <w:bottom w:val="single" w:sz="8" w:space="0" w:color="auto"/>
              <w:right w:val="single" w:sz="8" w:space="0" w:color="auto"/>
            </w:tcBorders>
            <w:shd w:val="clear" w:color="auto" w:fill="auto"/>
            <w:noWrap/>
            <w:vAlign w:val="bottom"/>
            <w:hideMark/>
          </w:tcPr>
          <w:p w:rsidR="008F3BE0" w:rsidRPr="008F3BE0" w:rsidRDefault="008F3BE0" w:rsidP="008F3BE0">
            <w:pPr>
              <w:tabs>
                <w:tab w:val="clear" w:pos="284"/>
              </w:tabs>
              <w:spacing w:line="240" w:lineRule="auto"/>
              <w:jc w:val="right"/>
              <w:rPr>
                <w:rFonts w:ascii="Arial" w:eastAsia="Times New Roman" w:hAnsi="Arial" w:cs="Arial"/>
                <w:color w:val="000000"/>
                <w:kern w:val="0"/>
                <w:lang w:eastAsia="en-GB"/>
              </w:rPr>
            </w:pPr>
            <w:r w:rsidRPr="008F3BE0">
              <w:rPr>
                <w:rFonts w:ascii="Arial" w:eastAsia="Times New Roman" w:hAnsi="Arial" w:cs="Arial"/>
                <w:color w:val="000000"/>
                <w:kern w:val="0"/>
                <w:lang w:eastAsia="en-GB"/>
              </w:rPr>
              <w:t>8.0%</w:t>
            </w:r>
          </w:p>
        </w:tc>
      </w:tr>
    </w:tbl>
    <w:p w:rsidR="00C16620" w:rsidRDefault="00FB2DF9" w:rsidP="0028000E">
      <w:pPr>
        <w:pStyle w:val="ListNumber"/>
        <w:numPr>
          <w:ilvl w:val="0"/>
          <w:numId w:val="0"/>
        </w:numPr>
        <w:ind w:left="425" w:hanging="425"/>
        <w:rPr>
          <w:bCs/>
          <w:i/>
          <w:iCs/>
          <w:color w:val="000000" w:themeColor="text1"/>
          <w:lang w:val="en-US"/>
        </w:rPr>
      </w:pPr>
      <w:r w:rsidRPr="00FB2DF9">
        <w:rPr>
          <w:bCs/>
          <w:i/>
          <w:iCs/>
          <w:color w:val="000000" w:themeColor="text1"/>
          <w:lang w:val="en-US"/>
        </w:rPr>
        <w:t xml:space="preserve">Source: Census 2011, AECOM </w:t>
      </w:r>
      <w:r w:rsidR="0028437E">
        <w:rPr>
          <w:bCs/>
          <w:i/>
          <w:iCs/>
          <w:color w:val="000000" w:themeColor="text1"/>
          <w:lang w:val="en-US"/>
        </w:rPr>
        <w:t>c</w:t>
      </w:r>
      <w:r w:rsidRPr="00FB2DF9">
        <w:rPr>
          <w:bCs/>
          <w:i/>
          <w:iCs/>
          <w:color w:val="000000" w:themeColor="text1"/>
          <w:lang w:val="en-US"/>
        </w:rPr>
        <w:t>alculations</w:t>
      </w:r>
    </w:p>
    <w:p w:rsidR="006C05E0" w:rsidRDefault="00FB2DF9" w:rsidP="009149D7">
      <w:pPr>
        <w:pStyle w:val="ListNumber"/>
        <w:rPr>
          <w:lang w:val="en-US"/>
        </w:rPr>
      </w:pPr>
      <w:r>
        <w:rPr>
          <w:lang w:val="en-US"/>
        </w:rPr>
        <w:t>The change in household composition over the inter-censual period is shown in Table</w:t>
      </w:r>
      <w:r w:rsidR="0028437E">
        <w:rPr>
          <w:lang w:val="en-US"/>
        </w:rPr>
        <w:t xml:space="preserve"> </w:t>
      </w:r>
      <w:r w:rsidR="00DC7A83">
        <w:rPr>
          <w:lang w:val="en-US"/>
        </w:rPr>
        <w:t>8</w:t>
      </w:r>
      <w:r>
        <w:rPr>
          <w:lang w:val="en-US"/>
        </w:rPr>
        <w:t xml:space="preserve"> below. This reveals a substantial increase in one-person households over the period. Within a population that is declining over-all, the number of one-person households increased by 59 households, of which the majority were below the age of 65. </w:t>
      </w:r>
    </w:p>
    <w:p w:rsidR="00FB2DF9" w:rsidRPr="00FB2DF9" w:rsidRDefault="00FB2DF9" w:rsidP="009149D7">
      <w:pPr>
        <w:pStyle w:val="ListNumber"/>
        <w:rPr>
          <w:lang w:val="en-US"/>
        </w:rPr>
      </w:pPr>
      <w:r>
        <w:rPr>
          <w:lang w:val="en-US"/>
        </w:rPr>
        <w:t>Overall, the representation of families declined, with the largest fall those with dependent children. This gro</w:t>
      </w:r>
      <w:r w:rsidR="00E85FCA">
        <w:rPr>
          <w:lang w:val="en-US"/>
        </w:rPr>
        <w:t xml:space="preserve">up fell in numerical terms by 20 households over the period. While the growth in one-person households is mirrored in the </w:t>
      </w:r>
      <w:r w:rsidR="005F5CF8">
        <w:rPr>
          <w:lang w:val="en-US"/>
        </w:rPr>
        <w:lastRenderedPageBreak/>
        <w:t>District</w:t>
      </w:r>
      <w:r w:rsidR="00E85FCA">
        <w:rPr>
          <w:lang w:val="en-US"/>
        </w:rPr>
        <w:t xml:space="preserve"> (although the change if less pronounced), the </w:t>
      </w:r>
      <w:r w:rsidR="005F5CF8">
        <w:rPr>
          <w:lang w:val="en-US"/>
        </w:rPr>
        <w:t>District</w:t>
      </w:r>
      <w:r w:rsidR="00E85FCA">
        <w:rPr>
          <w:lang w:val="en-US"/>
        </w:rPr>
        <w:t xml:space="preserve"> saw an increase in family households, led by those with non-dependent children. </w:t>
      </w:r>
    </w:p>
    <w:p w:rsidR="009149D7" w:rsidRDefault="009149D7" w:rsidP="009149D7">
      <w:pPr>
        <w:pStyle w:val="Caption"/>
      </w:pPr>
      <w:r>
        <w:t xml:space="preserve">Table </w:t>
      </w:r>
      <w:fldSimple w:instr=" SEQ Table \* ARABIC ">
        <w:r w:rsidR="00B25544">
          <w:rPr>
            <w:noProof/>
          </w:rPr>
          <w:t>8</w:t>
        </w:r>
      </w:fldSimple>
      <w:r>
        <w:t xml:space="preserve">: </w:t>
      </w:r>
      <w:r w:rsidRPr="00F22632">
        <w:t>Rates of change in household composition in West Wittering, 2001-2011</w:t>
      </w:r>
    </w:p>
    <w:tbl>
      <w:tblPr>
        <w:tblW w:w="9260" w:type="dxa"/>
        <w:tblInd w:w="98" w:type="dxa"/>
        <w:tblLook w:val="04A0" w:firstRow="1" w:lastRow="0" w:firstColumn="1" w:lastColumn="0" w:noHBand="0" w:noVBand="1"/>
      </w:tblPr>
      <w:tblGrid>
        <w:gridCol w:w="2440"/>
        <w:gridCol w:w="2300"/>
        <w:gridCol w:w="1400"/>
        <w:gridCol w:w="1720"/>
        <w:gridCol w:w="1400"/>
      </w:tblGrid>
      <w:tr w:rsidR="00FB2DF9" w:rsidRPr="00FB2DF9" w:rsidTr="00FB2DF9">
        <w:trPr>
          <w:trHeight w:val="240"/>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Household type</w:t>
            </w:r>
          </w:p>
        </w:tc>
        <w:tc>
          <w:tcPr>
            <w:tcW w:w="2300" w:type="dxa"/>
            <w:tcBorders>
              <w:top w:val="single" w:sz="8" w:space="0" w:color="auto"/>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 </w:t>
            </w:r>
          </w:p>
        </w:tc>
        <w:tc>
          <w:tcPr>
            <w:tcW w:w="1400" w:type="dxa"/>
            <w:tcBorders>
              <w:top w:val="single" w:sz="8" w:space="0" w:color="auto"/>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Percentage change, 2001-2011</w:t>
            </w:r>
          </w:p>
        </w:tc>
        <w:tc>
          <w:tcPr>
            <w:tcW w:w="1720" w:type="dxa"/>
            <w:tcBorders>
              <w:top w:val="single" w:sz="8" w:space="0" w:color="auto"/>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 </w:t>
            </w: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 </w:t>
            </w:r>
          </w:p>
        </w:tc>
      </w:tr>
      <w:tr w:rsidR="00FB2DF9" w:rsidRPr="00FB2DF9" w:rsidTr="00FB2DF9">
        <w:trPr>
          <w:trHeight w:val="24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West Wittering</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Chichester</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b/>
                <w:bCs/>
                <w:color w:val="000000"/>
                <w:kern w:val="0"/>
                <w:lang w:eastAsia="en-GB"/>
              </w:rPr>
            </w:pPr>
            <w:r w:rsidRPr="00FB2DF9">
              <w:rPr>
                <w:rFonts w:ascii="Arial" w:eastAsia="Times New Roman" w:hAnsi="Arial" w:cs="Arial"/>
                <w:b/>
                <w:bCs/>
                <w:color w:val="000000"/>
                <w:kern w:val="0"/>
                <w:lang w:eastAsia="en-GB"/>
              </w:rPr>
              <w:t>England</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One person household</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Total</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13.2%</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15.6%</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8.4%</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Aged 65 and over</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2.3%</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1.2%</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-7.3%</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Other</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52.6%</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38.8%</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22.7%</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One family only</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Total</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-7.1%</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4.9%</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5.4%</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All aged 65 and over</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-7.7%</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-1.6%</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-2.0%</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With no children</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-5.9%</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7.1%</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7.1%</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With dependent children</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-10.2%</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4.1%</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5.0%</w:t>
            </w:r>
          </w:p>
        </w:tc>
      </w:tr>
      <w:tr w:rsidR="00FB2DF9" w:rsidRPr="00FB2DF9" w:rsidTr="00FB2DF9">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 </w:t>
            </w:r>
          </w:p>
        </w:tc>
        <w:tc>
          <w:tcPr>
            <w:tcW w:w="23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All children non-dependent</w:t>
            </w:r>
          </w:p>
        </w:tc>
        <w:tc>
          <w:tcPr>
            <w:tcW w:w="140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-2.5%</w:t>
            </w:r>
          </w:p>
        </w:tc>
        <w:tc>
          <w:tcPr>
            <w:tcW w:w="1720" w:type="dxa"/>
            <w:tcBorders>
              <w:top w:val="nil"/>
              <w:left w:val="nil"/>
              <w:bottom w:val="single" w:sz="4"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13.8%</w:t>
            </w:r>
          </w:p>
        </w:tc>
        <w:tc>
          <w:tcPr>
            <w:tcW w:w="1400" w:type="dxa"/>
            <w:tcBorders>
              <w:top w:val="nil"/>
              <w:left w:val="nil"/>
              <w:bottom w:val="single" w:sz="4"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10.6%</w:t>
            </w:r>
          </w:p>
        </w:tc>
      </w:tr>
      <w:tr w:rsidR="00FB2DF9" w:rsidRPr="00FB2DF9" w:rsidTr="00FB2DF9">
        <w:trPr>
          <w:trHeight w:val="240"/>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Other household types</w:t>
            </w:r>
          </w:p>
        </w:tc>
        <w:tc>
          <w:tcPr>
            <w:tcW w:w="2300" w:type="dxa"/>
            <w:tcBorders>
              <w:top w:val="nil"/>
              <w:left w:val="nil"/>
              <w:bottom w:val="single" w:sz="8"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Total</w:t>
            </w:r>
          </w:p>
        </w:tc>
        <w:tc>
          <w:tcPr>
            <w:tcW w:w="1400" w:type="dxa"/>
            <w:tcBorders>
              <w:top w:val="nil"/>
              <w:left w:val="nil"/>
              <w:bottom w:val="single" w:sz="8"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-1.7%</w:t>
            </w:r>
          </w:p>
        </w:tc>
        <w:tc>
          <w:tcPr>
            <w:tcW w:w="1720" w:type="dxa"/>
            <w:tcBorders>
              <w:top w:val="nil"/>
              <w:left w:val="nil"/>
              <w:bottom w:val="single" w:sz="8" w:space="0" w:color="auto"/>
              <w:right w:val="single" w:sz="4"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17.1%</w:t>
            </w:r>
          </w:p>
        </w:tc>
        <w:tc>
          <w:tcPr>
            <w:tcW w:w="1400" w:type="dxa"/>
            <w:tcBorders>
              <w:top w:val="nil"/>
              <w:left w:val="nil"/>
              <w:bottom w:val="single" w:sz="8" w:space="0" w:color="auto"/>
              <w:right w:val="single" w:sz="8" w:space="0" w:color="auto"/>
            </w:tcBorders>
            <w:shd w:val="clear" w:color="auto" w:fill="auto"/>
            <w:noWrap/>
            <w:vAlign w:val="bottom"/>
            <w:hideMark/>
          </w:tcPr>
          <w:p w:rsidR="00FB2DF9" w:rsidRPr="00FB2DF9" w:rsidRDefault="00FB2DF9" w:rsidP="00FB2DF9">
            <w:pPr>
              <w:tabs>
                <w:tab w:val="clear" w:pos="284"/>
              </w:tabs>
              <w:spacing w:line="240" w:lineRule="auto"/>
              <w:jc w:val="right"/>
              <w:rPr>
                <w:rFonts w:ascii="Arial" w:eastAsia="Times New Roman" w:hAnsi="Arial" w:cs="Arial"/>
                <w:color w:val="000000"/>
                <w:kern w:val="0"/>
                <w:lang w:eastAsia="en-GB"/>
              </w:rPr>
            </w:pPr>
            <w:r w:rsidRPr="00FB2DF9">
              <w:rPr>
                <w:rFonts w:ascii="Arial" w:eastAsia="Times New Roman" w:hAnsi="Arial" w:cs="Arial"/>
                <w:color w:val="000000"/>
                <w:kern w:val="0"/>
                <w:lang w:eastAsia="en-GB"/>
              </w:rPr>
              <w:t>28.9%</w:t>
            </w:r>
          </w:p>
        </w:tc>
      </w:tr>
    </w:tbl>
    <w:p w:rsidR="00FB2DF9" w:rsidRPr="009149D7" w:rsidRDefault="009149D7" w:rsidP="009149D7">
      <w:pPr>
        <w:pStyle w:val="ListNumber"/>
        <w:numPr>
          <w:ilvl w:val="0"/>
          <w:numId w:val="0"/>
        </w:numPr>
        <w:ind w:left="425" w:hanging="425"/>
        <w:rPr>
          <w:bCs/>
          <w:i/>
          <w:iCs/>
          <w:color w:val="000000" w:themeColor="text1"/>
          <w:lang w:val="en-US"/>
        </w:rPr>
      </w:pPr>
      <w:r w:rsidRPr="00FB2DF9">
        <w:rPr>
          <w:bCs/>
          <w:i/>
          <w:iCs/>
          <w:color w:val="000000" w:themeColor="text1"/>
          <w:lang w:val="en-US"/>
        </w:rPr>
        <w:t xml:space="preserve">Source: Census 2011, AECOM </w:t>
      </w:r>
      <w:r w:rsidR="0028437E">
        <w:rPr>
          <w:bCs/>
          <w:i/>
          <w:iCs/>
          <w:color w:val="000000" w:themeColor="text1"/>
          <w:lang w:val="en-US"/>
        </w:rPr>
        <w:t>c</w:t>
      </w:r>
      <w:r w:rsidRPr="00FB2DF9">
        <w:rPr>
          <w:bCs/>
          <w:i/>
          <w:iCs/>
          <w:color w:val="000000" w:themeColor="text1"/>
          <w:lang w:val="en-US"/>
        </w:rPr>
        <w:t>alculations</w:t>
      </w:r>
    </w:p>
    <w:p w:rsidR="0052332B" w:rsidRDefault="009149D7" w:rsidP="009149D7">
      <w:pPr>
        <w:pStyle w:val="ListNumber"/>
        <w:rPr>
          <w:lang w:val="en-US"/>
        </w:rPr>
      </w:pPr>
      <w:r>
        <w:rPr>
          <w:lang w:val="en-US"/>
        </w:rPr>
        <w:t>In Table 9</w:t>
      </w:r>
      <w:r w:rsidR="0052332B">
        <w:rPr>
          <w:lang w:val="en-US"/>
        </w:rPr>
        <w:t xml:space="preserve"> b</w:t>
      </w:r>
      <w:r w:rsidR="0052332B" w:rsidRPr="0052332B">
        <w:rPr>
          <w:lang w:val="en-US"/>
        </w:rPr>
        <w:t xml:space="preserve">elow we reproduce data from the ROANH14 </w:t>
      </w:r>
      <w:r w:rsidR="0052332B">
        <w:rPr>
          <w:lang w:val="en-US"/>
        </w:rPr>
        <w:t xml:space="preserve">that forecasts changes in household type </w:t>
      </w:r>
      <w:r w:rsidR="006C05E0">
        <w:rPr>
          <w:lang w:val="en-US"/>
        </w:rPr>
        <w:t xml:space="preserve">in </w:t>
      </w:r>
      <w:proofErr w:type="spellStart"/>
      <w:r w:rsidR="006C05E0">
        <w:rPr>
          <w:lang w:val="en-US"/>
        </w:rPr>
        <w:t>Chichester</w:t>
      </w:r>
      <w:proofErr w:type="spellEnd"/>
      <w:r w:rsidR="006C05E0">
        <w:rPr>
          <w:lang w:val="en-US"/>
        </w:rPr>
        <w:t xml:space="preserve"> </w:t>
      </w:r>
      <w:r w:rsidR="005F5CF8">
        <w:rPr>
          <w:lang w:val="en-US"/>
        </w:rPr>
        <w:t>District</w:t>
      </w:r>
      <w:r w:rsidR="006C05E0">
        <w:rPr>
          <w:lang w:val="en-US"/>
        </w:rPr>
        <w:t xml:space="preserve"> </w:t>
      </w:r>
      <w:r w:rsidR="0052332B">
        <w:rPr>
          <w:lang w:val="en-US"/>
        </w:rPr>
        <w:t xml:space="preserve">over the period 2013 to 2029. </w:t>
      </w:r>
      <w:r w:rsidR="000D5A98">
        <w:rPr>
          <w:lang w:val="en-US"/>
        </w:rPr>
        <w:t xml:space="preserve">This suggests the increase in one-person households and family households without children </w:t>
      </w:r>
      <w:r w:rsidR="006C05E0">
        <w:rPr>
          <w:lang w:val="en-US"/>
        </w:rPr>
        <w:t>t</w:t>
      </w:r>
      <w:r w:rsidR="000D5A98">
        <w:rPr>
          <w:lang w:val="en-US"/>
        </w:rPr>
        <w:t xml:space="preserve">hat </w:t>
      </w:r>
      <w:proofErr w:type="gramStart"/>
      <w:r w:rsidR="000D5A98">
        <w:rPr>
          <w:lang w:val="en-US"/>
        </w:rPr>
        <w:t>has</w:t>
      </w:r>
      <w:proofErr w:type="gramEnd"/>
      <w:r w:rsidR="000D5A98">
        <w:rPr>
          <w:lang w:val="en-US"/>
        </w:rPr>
        <w:t xml:space="preserve"> been seen within the </w:t>
      </w:r>
      <w:r w:rsidR="005F5CF8">
        <w:rPr>
          <w:lang w:val="en-US"/>
        </w:rPr>
        <w:t>District</w:t>
      </w:r>
      <w:r w:rsidR="000D5A98">
        <w:rPr>
          <w:lang w:val="en-US"/>
        </w:rPr>
        <w:t xml:space="preserve"> during the inter-censual period will be sustained over the next decade. </w:t>
      </w:r>
      <w:r w:rsidR="005D5033">
        <w:rPr>
          <w:lang w:val="en-US"/>
        </w:rPr>
        <w:t xml:space="preserve">The document comments, </w:t>
      </w:r>
      <w:r w:rsidR="005D5033" w:rsidRPr="005D5033">
        <w:rPr>
          <w:i/>
          <w:lang w:val="en-US"/>
        </w:rPr>
        <w:t>‘Over half (54%) of the growth is accounted for by one person households which are projected to rise by 4,800 from 2013 to 2029, or 297 per year on average.’</w:t>
      </w:r>
      <w:r w:rsidR="005D5033">
        <w:rPr>
          <w:rStyle w:val="FootnoteReference"/>
          <w:bCs/>
          <w:i/>
          <w:iCs/>
          <w:lang w:val="en-US"/>
        </w:rPr>
        <w:footnoteReference w:id="21"/>
      </w:r>
    </w:p>
    <w:p w:rsidR="009149D7" w:rsidRDefault="009149D7" w:rsidP="009149D7">
      <w:pPr>
        <w:pStyle w:val="Caption"/>
      </w:pPr>
      <w:r>
        <w:t xml:space="preserve">Table </w:t>
      </w:r>
      <w:fldSimple w:instr=" SEQ Table \* ARABIC ">
        <w:r w:rsidR="00B25544">
          <w:rPr>
            <w:noProof/>
          </w:rPr>
          <w:t>9</w:t>
        </w:r>
      </w:fldSimple>
      <w:r>
        <w:t xml:space="preserve">: </w:t>
      </w:r>
      <w:r w:rsidRPr="00C465AC">
        <w:t>Household projections by household type (part return to trend headship) – Chichester</w:t>
      </w:r>
    </w:p>
    <w:p w:rsidR="008F3BE0" w:rsidRPr="005D5033" w:rsidRDefault="0052332B" w:rsidP="005D5033">
      <w:pPr>
        <w:pStyle w:val="ListNumber"/>
        <w:numPr>
          <w:ilvl w:val="0"/>
          <w:numId w:val="0"/>
        </w:numPr>
        <w:spacing w:after="0"/>
        <w:ind w:left="425" w:hanging="425"/>
        <w:rPr>
          <w:bCs/>
          <w:iCs/>
          <w:color w:val="000000" w:themeColor="text1"/>
          <w:lang w:val="en-US"/>
        </w:rPr>
      </w:pPr>
      <w:r w:rsidRPr="005D5033">
        <w:rPr>
          <w:bCs/>
          <w:iCs/>
          <w:noProof/>
          <w:color w:val="000000" w:themeColor="text1"/>
          <w:lang w:eastAsia="en-GB"/>
        </w:rPr>
        <w:drawing>
          <wp:inline distT="0" distB="0" distL="0" distR="0" wp14:anchorId="2D5A9E3B" wp14:editId="0874F8DB">
            <wp:extent cx="5731510" cy="17392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Ntbl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739265"/>
                    </a:xfrm>
                    <a:prstGeom prst="rect">
                      <a:avLst/>
                    </a:prstGeom>
                  </pic:spPr>
                </pic:pic>
              </a:graphicData>
            </a:graphic>
          </wp:inline>
        </w:drawing>
      </w:r>
    </w:p>
    <w:p w:rsidR="005D5033" w:rsidRDefault="005D5033" w:rsidP="005D5033">
      <w:pPr>
        <w:pStyle w:val="ListNumber"/>
        <w:numPr>
          <w:ilvl w:val="0"/>
          <w:numId w:val="0"/>
        </w:numPr>
        <w:spacing w:after="0"/>
        <w:ind w:left="425" w:hanging="425"/>
        <w:rPr>
          <w:i/>
          <w:color w:val="000000" w:themeColor="text1"/>
          <w:lang w:val="en-US"/>
        </w:rPr>
      </w:pPr>
      <w:r w:rsidRPr="005D5033">
        <w:rPr>
          <w:bCs/>
          <w:i/>
          <w:iCs/>
          <w:color w:val="000000" w:themeColor="text1"/>
          <w:lang w:val="en-US"/>
        </w:rPr>
        <w:t xml:space="preserve">Source: </w:t>
      </w:r>
      <w:r w:rsidRPr="005D5033">
        <w:rPr>
          <w:i/>
          <w:color w:val="000000" w:themeColor="text1"/>
          <w:lang w:val="en-US"/>
        </w:rPr>
        <w:t>ROANH14</w:t>
      </w:r>
    </w:p>
    <w:p w:rsidR="009149D7" w:rsidRDefault="009149D7" w:rsidP="009149D7">
      <w:pPr>
        <w:pStyle w:val="ListNumber"/>
        <w:numPr>
          <w:ilvl w:val="0"/>
          <w:numId w:val="0"/>
        </w:numPr>
        <w:ind w:left="425"/>
        <w:rPr>
          <w:lang w:val="en-US"/>
        </w:rPr>
      </w:pPr>
    </w:p>
    <w:p w:rsidR="005D5033" w:rsidRPr="00AC56A0" w:rsidRDefault="00AC56A0" w:rsidP="009149D7">
      <w:pPr>
        <w:pStyle w:val="ListNumber"/>
        <w:rPr>
          <w:lang w:val="en-US"/>
        </w:rPr>
      </w:pPr>
      <w:r w:rsidRPr="00AC56A0">
        <w:rPr>
          <w:lang w:val="en-US"/>
        </w:rPr>
        <w:t xml:space="preserve">Bringing together the evidence relating to change in household composition, </w:t>
      </w:r>
      <w:r w:rsidR="006C05E0" w:rsidRPr="00AC56A0">
        <w:rPr>
          <w:lang w:val="en-US"/>
        </w:rPr>
        <w:t xml:space="preserve">Census data shows a high proportion of the population are live alone (37.5%) compared with the </w:t>
      </w:r>
      <w:r w:rsidR="005F5CF8">
        <w:rPr>
          <w:lang w:val="en-US"/>
        </w:rPr>
        <w:t>District</w:t>
      </w:r>
      <w:r w:rsidR="006C05E0" w:rsidRPr="00AC56A0">
        <w:rPr>
          <w:lang w:val="en-US"/>
        </w:rPr>
        <w:t xml:space="preserve"> (32%); this group has grown substantially over the inter-censual period, recording an increase of 59 households over the period, the majority of whom were aged under 65.Overall, the representation of families declined, with the largest fall those with dependent children (10.2%). Data for the </w:t>
      </w:r>
      <w:r w:rsidR="005F5CF8">
        <w:rPr>
          <w:lang w:val="en-US"/>
        </w:rPr>
        <w:t>District</w:t>
      </w:r>
      <w:r w:rsidR="006C05E0" w:rsidRPr="00AC56A0">
        <w:rPr>
          <w:lang w:val="en-US"/>
        </w:rPr>
        <w:t xml:space="preserve"> provides a strong indication that the growth in one-person households as a share of the overall population will continue to increase over the Plan period.</w:t>
      </w:r>
    </w:p>
    <w:p w:rsidR="00AC56A0" w:rsidRPr="00AC56A0" w:rsidRDefault="00AC56A0" w:rsidP="009149D7">
      <w:pPr>
        <w:pStyle w:val="Heading2"/>
        <w:rPr>
          <w:lang w:val="en-US"/>
        </w:rPr>
      </w:pPr>
      <w:bookmarkStart w:id="102" w:name="_Toc504464741"/>
      <w:r w:rsidRPr="00AC56A0">
        <w:rPr>
          <w:lang w:val="en-US"/>
        </w:rPr>
        <w:t>Affordability</w:t>
      </w:r>
      <w:bookmarkEnd w:id="102"/>
    </w:p>
    <w:p w:rsidR="004919DB" w:rsidRDefault="00943E06" w:rsidP="009149D7">
      <w:pPr>
        <w:pStyle w:val="ListNumber"/>
      </w:pPr>
      <w:r>
        <w:t xml:space="preserve">An examination of the affordability of housing within a given place should focus that proportion of all households </w:t>
      </w:r>
      <w:r w:rsidRPr="00943E06">
        <w:t>that are unable to access suitable housing given their household type</w:t>
      </w:r>
      <w:r w:rsidR="004919DB">
        <w:t xml:space="preserve"> without subsidy in some form</w:t>
      </w:r>
      <w:r w:rsidRPr="00943E06">
        <w:t>.</w:t>
      </w:r>
      <w:r>
        <w:t xml:space="preserve"> To understand this, the concepts of the ‘income’ and ‘purchase’ thresholds are employed. </w:t>
      </w:r>
    </w:p>
    <w:p w:rsidR="004919DB" w:rsidRDefault="004E7534" w:rsidP="009149D7">
      <w:pPr>
        <w:pStyle w:val="ListNumber"/>
      </w:pPr>
      <w:proofErr w:type="gramStart"/>
      <w:r w:rsidRPr="00211BA5">
        <w:rPr>
          <w:u w:val="single"/>
        </w:rPr>
        <w:t>Income thresholds</w:t>
      </w:r>
      <w:r w:rsidRPr="004E7534">
        <w:t xml:space="preserve"> </w:t>
      </w:r>
      <w:r w:rsidR="004919DB">
        <w:t xml:space="preserve">consider the affordability of private rented accommodation, and </w:t>
      </w:r>
      <w:r w:rsidRPr="004E7534">
        <w:t xml:space="preserve">are derived </w:t>
      </w:r>
      <w:r w:rsidR="004919DB">
        <w:t>from the</w:t>
      </w:r>
      <w:r w:rsidRPr="004E7534">
        <w:t xml:space="preserve"> annualis</w:t>
      </w:r>
      <w:r w:rsidR="004919DB">
        <w:t xml:space="preserve">ation of the </w:t>
      </w:r>
      <w:r w:rsidR="00C830A2">
        <w:t>monthly rents, and assume</w:t>
      </w:r>
      <w:r w:rsidR="00B33D1F">
        <w:t>s</w:t>
      </w:r>
      <w:proofErr w:type="gramEnd"/>
      <w:r w:rsidR="00C830A2">
        <w:t xml:space="preserve"> </w:t>
      </w:r>
      <w:r w:rsidR="004919DB">
        <w:t>this</w:t>
      </w:r>
      <w:r w:rsidRPr="004E7534">
        <w:t xml:space="preserve"> annualised cost represents a maximum of 25% of annual household income. </w:t>
      </w:r>
      <w:r w:rsidR="004919DB">
        <w:t xml:space="preserve">This allows enough money for a given household to afford other domestic overheads as well as some discretionary spend, in this way </w:t>
      </w:r>
      <w:r w:rsidR="003E0B7C">
        <w:t>supporting</w:t>
      </w:r>
      <w:r w:rsidR="004919DB">
        <w:t xml:space="preserve"> overall well-being. </w:t>
      </w:r>
    </w:p>
    <w:p w:rsidR="004E7534" w:rsidRDefault="004E7534" w:rsidP="009149D7">
      <w:pPr>
        <w:pStyle w:val="ListNumber"/>
      </w:pPr>
      <w:r w:rsidRPr="004E7534">
        <w:lastRenderedPageBreak/>
        <w:t xml:space="preserve">The </w:t>
      </w:r>
      <w:r w:rsidRPr="004E7534">
        <w:rPr>
          <w:u w:val="single"/>
        </w:rPr>
        <w:t>purchase threshold</w:t>
      </w:r>
      <w:r w:rsidRPr="004E7534">
        <w:t xml:space="preserve"> </w:t>
      </w:r>
      <w:r w:rsidR="004919DB">
        <w:t xml:space="preserve">follows a similar logic but considers the affordability of dwellings for sale. It </w:t>
      </w:r>
      <w:r w:rsidRPr="004E7534">
        <w:t xml:space="preserve">is calculated by netting </w:t>
      </w:r>
      <w:r w:rsidR="004919DB">
        <w:t xml:space="preserve">off </w:t>
      </w:r>
      <w:r w:rsidRPr="004E7534">
        <w:t xml:space="preserve">10% off the lower quartile house price to reflect </w:t>
      </w:r>
      <w:r w:rsidR="00B33D1F">
        <w:t xml:space="preserve">the </w:t>
      </w:r>
      <w:r w:rsidRPr="004E7534">
        <w:t xml:space="preserve">purchase deposit. The resulting cost is divided by </w:t>
      </w:r>
      <w:r w:rsidR="004919DB">
        <w:t>a set multiple (typically 3-4)</w:t>
      </w:r>
      <w:r w:rsidRPr="004E7534">
        <w:t xml:space="preserve"> to reflect the standard household income requirement to access mortgage products. </w:t>
      </w:r>
    </w:p>
    <w:p w:rsidR="00211BA5" w:rsidRDefault="009149D7" w:rsidP="009149D7">
      <w:pPr>
        <w:pStyle w:val="ListNumber"/>
      </w:pPr>
      <w:r>
        <w:t xml:space="preserve">In </w:t>
      </w:r>
      <w:r w:rsidR="000D2F64">
        <w:t>F</w:t>
      </w:r>
      <w:r>
        <w:t>igure 4</w:t>
      </w:r>
      <w:r w:rsidR="001A2365">
        <w:t xml:space="preserve"> below we reproduce Figure 3 from the </w:t>
      </w:r>
      <w:r w:rsidR="006713D2" w:rsidRPr="006713D2">
        <w:t>CWSS12</w:t>
      </w:r>
      <w:r w:rsidR="001A2365">
        <w:t>; this</w:t>
      </w:r>
      <w:r w:rsidR="00211BA5">
        <w:t xml:space="preserve"> employs </w:t>
      </w:r>
      <w:r w:rsidR="004919DB">
        <w:t xml:space="preserve">an ‘income’ and ‘purchase’ threshold approach to identify </w:t>
      </w:r>
      <w:r w:rsidR="00211BA5">
        <w:t xml:space="preserve">the income required </w:t>
      </w:r>
      <w:r w:rsidR="00B67629">
        <w:t xml:space="preserve">to occupy a </w:t>
      </w:r>
      <w:r w:rsidR="00980537">
        <w:t>two</w:t>
      </w:r>
      <w:r w:rsidR="00B67629">
        <w:t xml:space="preserve"> bedroom home at the </w:t>
      </w:r>
      <w:r w:rsidR="005F5CF8">
        <w:t>District</w:t>
      </w:r>
      <w:r w:rsidR="00B67629">
        <w:t xml:space="preserve"> level </w:t>
      </w:r>
      <w:r w:rsidR="004919DB">
        <w:t>within</w:t>
      </w:r>
      <w:r w:rsidR="00B67629">
        <w:t xml:space="preserve"> four different tenures. </w:t>
      </w:r>
      <w:r w:rsidR="00980537">
        <w:t>A two</w:t>
      </w:r>
      <w:r w:rsidR="003E0B7C">
        <w:t xml:space="preserve"> </w:t>
      </w:r>
      <w:r w:rsidR="00980537">
        <w:t xml:space="preserve">bedroom home is considered appropriate as an entry-level home bearing in mind the need to avoid over-crowding, the predominance of family households in </w:t>
      </w:r>
      <w:r w:rsidR="00B33D1F">
        <w:t>West Wittering</w:t>
      </w:r>
      <w:r w:rsidR="00980537">
        <w:t xml:space="preserve"> and the inherent adaptability of dwellings of this size over a smaller unit. </w:t>
      </w:r>
    </w:p>
    <w:p w:rsidR="009149D7" w:rsidRDefault="009149D7" w:rsidP="009149D7">
      <w:pPr>
        <w:pStyle w:val="Caption"/>
      </w:pPr>
      <w:r>
        <w:t xml:space="preserve">Figure </w:t>
      </w:r>
      <w:fldSimple w:instr=" SEQ Figure \* ARABIC ">
        <w:r w:rsidR="00A258B5">
          <w:rPr>
            <w:noProof/>
          </w:rPr>
          <w:t>4</w:t>
        </w:r>
      </w:fldSimple>
      <w:r>
        <w:t xml:space="preserve">: </w:t>
      </w:r>
      <w:r w:rsidRPr="00A05E51">
        <w:t xml:space="preserve">Household </w:t>
      </w:r>
      <w:r w:rsidR="000D2F64">
        <w:t>i</w:t>
      </w:r>
      <w:r w:rsidRPr="00A05E51">
        <w:t xml:space="preserve">ncome </w:t>
      </w:r>
      <w:r w:rsidR="000D2F64">
        <w:t>r</w:t>
      </w:r>
      <w:r w:rsidRPr="00A05E51">
        <w:t xml:space="preserve">equired to </w:t>
      </w:r>
      <w:r w:rsidR="000D2F64">
        <w:t>b</w:t>
      </w:r>
      <w:r w:rsidRPr="00A05E51">
        <w:t xml:space="preserve">uy or </w:t>
      </w:r>
      <w:r w:rsidR="000D2F64">
        <w:t>r</w:t>
      </w:r>
      <w:r w:rsidRPr="00A05E51">
        <w:t xml:space="preserve">ent a 2-bed </w:t>
      </w:r>
      <w:r w:rsidR="000D2F64">
        <w:t>p</w:t>
      </w:r>
      <w:r w:rsidRPr="00A05E51">
        <w:t>roperty</w:t>
      </w:r>
    </w:p>
    <w:p w:rsidR="00B67629" w:rsidRPr="00513D60" w:rsidRDefault="00211BA5" w:rsidP="009149D7">
      <w:pPr>
        <w:pStyle w:val="ListNumber"/>
        <w:numPr>
          <w:ilvl w:val="0"/>
          <w:numId w:val="0"/>
        </w:numPr>
      </w:pPr>
      <w:r>
        <w:rPr>
          <w:noProof/>
          <w:lang w:eastAsia="en-GB"/>
        </w:rPr>
        <w:drawing>
          <wp:inline distT="0" distB="0" distL="0" distR="0" wp14:anchorId="0A7B9E9D" wp14:editId="4380913A">
            <wp:extent cx="5731510" cy="2940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3.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40050"/>
                    </a:xfrm>
                    <a:prstGeom prst="rect">
                      <a:avLst/>
                    </a:prstGeom>
                  </pic:spPr>
                </pic:pic>
              </a:graphicData>
            </a:graphic>
          </wp:inline>
        </w:drawing>
      </w:r>
    </w:p>
    <w:p w:rsidR="00B67629" w:rsidRPr="00513D60" w:rsidRDefault="001A2365" w:rsidP="009149D7">
      <w:pPr>
        <w:pStyle w:val="ListNumber"/>
      </w:pPr>
      <w:r w:rsidRPr="00513D60">
        <w:t>In</w:t>
      </w:r>
      <w:r w:rsidR="009149D7">
        <w:t xml:space="preserve"> Figure 5</w:t>
      </w:r>
      <w:r w:rsidRPr="00513D60">
        <w:t xml:space="preserve"> below we reproduce Figure 91 from the </w:t>
      </w:r>
      <w:r w:rsidR="006713D2" w:rsidRPr="006713D2">
        <w:t>CWSS12</w:t>
      </w:r>
      <w:r w:rsidRPr="00513D60">
        <w:t xml:space="preserve">; this shows estimated median incomes in each of the sub-areas. This suggests that </w:t>
      </w:r>
      <w:r w:rsidR="00513D60" w:rsidRPr="00513D60">
        <w:t>for people living in Chichester South, the sub-area of which West Wittering forms a part</w:t>
      </w:r>
      <w:r w:rsidR="00513D60">
        <w:rPr>
          <w:rStyle w:val="FootnoteReference"/>
        </w:rPr>
        <w:footnoteReference w:id="22"/>
      </w:r>
      <w:r w:rsidR="00513D60">
        <w:t xml:space="preserve">, the majority of households are </w:t>
      </w:r>
      <w:r w:rsidR="00B755E6">
        <w:t xml:space="preserve">able to afford private rental dwellings and affordable housing products, but only a minority are able to access entry level market homes for sale. </w:t>
      </w:r>
    </w:p>
    <w:p w:rsidR="00B67629" w:rsidRDefault="00B67629" w:rsidP="00B67629">
      <w:pPr>
        <w:pStyle w:val="ListNumber"/>
        <w:numPr>
          <w:ilvl w:val="0"/>
          <w:numId w:val="0"/>
        </w:numPr>
        <w:spacing w:after="0"/>
        <w:rPr>
          <w:b/>
        </w:rPr>
      </w:pPr>
    </w:p>
    <w:p w:rsidR="009149D7" w:rsidRDefault="009149D7" w:rsidP="009149D7">
      <w:pPr>
        <w:pStyle w:val="Caption"/>
      </w:pPr>
      <w:r>
        <w:t xml:space="preserve">Figure </w:t>
      </w:r>
      <w:fldSimple w:instr=" SEQ Figure \* ARABIC ">
        <w:r w:rsidR="00A258B5">
          <w:rPr>
            <w:noProof/>
          </w:rPr>
          <w:t>5</w:t>
        </w:r>
      </w:fldSimple>
      <w:r>
        <w:t xml:space="preserve">: </w:t>
      </w:r>
      <w:r w:rsidRPr="00BA5355">
        <w:t>Distribution of household income in Coastal West Sussex HMA</w:t>
      </w:r>
    </w:p>
    <w:p w:rsidR="00B67629" w:rsidRDefault="00513D60" w:rsidP="00B67629">
      <w:pPr>
        <w:pStyle w:val="ListNumber"/>
        <w:numPr>
          <w:ilvl w:val="0"/>
          <w:numId w:val="0"/>
        </w:numPr>
        <w:spacing w:after="0"/>
        <w:rPr>
          <w:b/>
        </w:rPr>
      </w:pPr>
      <w:r>
        <w:rPr>
          <w:b/>
          <w:noProof/>
          <w:lang w:eastAsia="en-GB"/>
        </w:rPr>
        <w:drawing>
          <wp:inline distT="0" distB="0" distL="0" distR="0" wp14:anchorId="36502DA5" wp14:editId="3CF3E909">
            <wp:extent cx="5276884" cy="3092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91.PNG"/>
                    <pic:cNvPicPr/>
                  </pic:nvPicPr>
                  <pic:blipFill>
                    <a:blip r:embed="rId19">
                      <a:extLst>
                        <a:ext uri="{28A0092B-C50C-407E-A947-70E740481C1C}">
                          <a14:useLocalDpi xmlns:a14="http://schemas.microsoft.com/office/drawing/2010/main" val="0"/>
                        </a:ext>
                      </a:extLst>
                    </a:blip>
                    <a:stretch>
                      <a:fillRect/>
                    </a:stretch>
                  </pic:blipFill>
                  <pic:spPr>
                    <a:xfrm>
                      <a:off x="0" y="0"/>
                      <a:ext cx="5279563" cy="3093686"/>
                    </a:xfrm>
                    <a:prstGeom prst="rect">
                      <a:avLst/>
                    </a:prstGeom>
                  </pic:spPr>
                </pic:pic>
              </a:graphicData>
            </a:graphic>
          </wp:inline>
        </w:drawing>
      </w:r>
    </w:p>
    <w:p w:rsidR="00B67629" w:rsidRPr="00B755E6" w:rsidRDefault="00B755E6" w:rsidP="00B67629">
      <w:pPr>
        <w:pStyle w:val="ListNumber"/>
        <w:numPr>
          <w:ilvl w:val="0"/>
          <w:numId w:val="0"/>
        </w:numPr>
        <w:spacing w:after="0"/>
        <w:rPr>
          <w:i/>
        </w:rPr>
      </w:pPr>
      <w:r w:rsidRPr="00B755E6">
        <w:rPr>
          <w:i/>
        </w:rPr>
        <w:lastRenderedPageBreak/>
        <w:t xml:space="preserve">Source: </w:t>
      </w:r>
      <w:r w:rsidR="006713D2" w:rsidRPr="006713D2">
        <w:rPr>
          <w:i/>
        </w:rPr>
        <w:t>CWSS12</w:t>
      </w:r>
      <w:r w:rsidRPr="00B755E6">
        <w:rPr>
          <w:i/>
        </w:rPr>
        <w:t xml:space="preserve"> (Derived from Experian and ONS data)</w:t>
      </w:r>
    </w:p>
    <w:p w:rsidR="00B67629" w:rsidRPr="00B755E6" w:rsidRDefault="00B67629" w:rsidP="00B67629">
      <w:pPr>
        <w:pStyle w:val="ListNumber"/>
        <w:numPr>
          <w:ilvl w:val="0"/>
          <w:numId w:val="0"/>
        </w:numPr>
        <w:spacing w:after="0"/>
      </w:pPr>
    </w:p>
    <w:p w:rsidR="00B33D1F" w:rsidRDefault="00173FB0" w:rsidP="009149D7">
      <w:pPr>
        <w:pStyle w:val="ListNumber"/>
      </w:pPr>
      <w:r>
        <w:t xml:space="preserve">A more accurate assessment of the proportion of households able to access market dwellings in West Wittering may be obtained through a simple income and purchase threshold calculation using data provided by the </w:t>
      </w:r>
      <w:r w:rsidR="006713D2" w:rsidRPr="006713D2">
        <w:t>CWSS12</w:t>
      </w:r>
      <w:r>
        <w:t xml:space="preserve">. </w:t>
      </w:r>
    </w:p>
    <w:p w:rsidR="00B33D1F" w:rsidRDefault="00B33D1F" w:rsidP="009149D7">
      <w:pPr>
        <w:pStyle w:val="ListNumber"/>
      </w:pPr>
      <w:r>
        <w:t>I</w:t>
      </w:r>
      <w:r w:rsidR="009149D7">
        <w:t>n Figure 6</w:t>
      </w:r>
      <w:r w:rsidR="00173FB0">
        <w:t xml:space="preserve"> below we reproduce Figure 78. </w:t>
      </w:r>
      <w:r w:rsidR="007001C0">
        <w:t>This presents data drawn from an o</w:t>
      </w:r>
      <w:r w:rsidR="007001C0" w:rsidRPr="007001C0">
        <w:t xml:space="preserve">nline Estate and Letting Agents Survey </w:t>
      </w:r>
      <w:r w:rsidR="007001C0">
        <w:t xml:space="preserve">at the sub-area level and reveals that a </w:t>
      </w:r>
      <w:r w:rsidR="005D64F6">
        <w:t>two</w:t>
      </w:r>
      <w:r w:rsidR="007001C0">
        <w:t xml:space="preserve"> bedroom home, suitable for </w:t>
      </w:r>
      <w:r w:rsidR="005D64F6">
        <w:t xml:space="preserve">a family household consisting of 3-4 individuals, </w:t>
      </w:r>
      <w:r w:rsidR="007001C0">
        <w:t>was valued at £1</w:t>
      </w:r>
      <w:r w:rsidR="005D64F6">
        <w:t>5</w:t>
      </w:r>
      <w:r w:rsidR="007001C0">
        <w:t xml:space="preserve">6,000 in April 2012. Working from the </w:t>
      </w:r>
      <w:r w:rsidR="00DC7A83">
        <w:t>data set out Figure 5</w:t>
      </w:r>
      <w:r w:rsidR="007001C0">
        <w:t xml:space="preserve"> above, we can therefore calculate that the purchase threshold for dwellings of this size would, using a multiple of income set at 3.5, be £</w:t>
      </w:r>
      <w:r w:rsidR="005D64F6">
        <w:t>40,114</w:t>
      </w:r>
      <w:r w:rsidR="0086481E">
        <w:t xml:space="preserve">. </w:t>
      </w:r>
    </w:p>
    <w:p w:rsidR="005D64F6" w:rsidRPr="009149D7" w:rsidRDefault="005D64F6" w:rsidP="009149D7">
      <w:pPr>
        <w:pStyle w:val="ListNumber"/>
      </w:pPr>
      <w:r w:rsidRPr="009149D7">
        <w:t>Given the</w:t>
      </w:r>
      <w:r w:rsidR="0086481E" w:rsidRPr="009149D7">
        <w:t xml:space="preserve"> median income level of £40,278, </w:t>
      </w:r>
      <w:r w:rsidRPr="009149D7">
        <w:t>this</w:t>
      </w:r>
      <w:r w:rsidR="0086481E" w:rsidRPr="009149D7">
        <w:t xml:space="preserve"> suggest</w:t>
      </w:r>
      <w:r w:rsidRPr="009149D7">
        <w:t>s roughly half</w:t>
      </w:r>
      <w:r w:rsidR="0086481E" w:rsidRPr="009149D7">
        <w:t xml:space="preserve"> of households are able to access entry level dwellings for sale within the sub-area. </w:t>
      </w:r>
      <w:r w:rsidR="009149D7">
        <w:t>The difference with Figure 5 above</w:t>
      </w:r>
      <w:r w:rsidRPr="009149D7">
        <w:t xml:space="preserve"> can in part be explained by house prices in Chichester South being substantially less than for Chichester as a whole. </w:t>
      </w:r>
    </w:p>
    <w:p w:rsidR="009149D7" w:rsidRDefault="009149D7" w:rsidP="009149D7">
      <w:pPr>
        <w:pStyle w:val="Caption"/>
      </w:pPr>
      <w:r>
        <w:t xml:space="preserve">Figure </w:t>
      </w:r>
      <w:fldSimple w:instr=" SEQ Figure \* ARABIC ">
        <w:r w:rsidR="00A258B5">
          <w:rPr>
            <w:noProof/>
          </w:rPr>
          <w:t>6</w:t>
        </w:r>
      </w:fldSimple>
      <w:r>
        <w:t xml:space="preserve">: </w:t>
      </w:r>
      <w:r w:rsidRPr="00DD5150">
        <w:t xml:space="preserve">Estimated </w:t>
      </w:r>
      <w:r w:rsidR="000D2F64">
        <w:t>e</w:t>
      </w:r>
      <w:r w:rsidRPr="00DD5150">
        <w:t>ntry-</w:t>
      </w:r>
      <w:r w:rsidR="000D2F64">
        <w:t>l</w:t>
      </w:r>
      <w:r w:rsidRPr="00DD5150">
        <w:t xml:space="preserve">evel </w:t>
      </w:r>
      <w:r w:rsidR="000D2F64">
        <w:t>p</w:t>
      </w:r>
      <w:r w:rsidRPr="00DD5150">
        <w:t xml:space="preserve">urchase </w:t>
      </w:r>
      <w:r w:rsidR="000D2F64">
        <w:t>p</w:t>
      </w:r>
      <w:r w:rsidRPr="00DD5150">
        <w:t xml:space="preserve">rice by </w:t>
      </w:r>
      <w:r w:rsidR="000D2F64">
        <w:t>s</w:t>
      </w:r>
      <w:r w:rsidRPr="00DD5150">
        <w:t>ub-</w:t>
      </w:r>
      <w:r w:rsidR="000D2F64">
        <w:t>a</w:t>
      </w:r>
      <w:r w:rsidRPr="00DD5150">
        <w:t>rea</w:t>
      </w:r>
    </w:p>
    <w:p w:rsidR="00173FB0" w:rsidRDefault="00173FB0" w:rsidP="00B67629">
      <w:pPr>
        <w:pStyle w:val="ListNumber"/>
        <w:numPr>
          <w:ilvl w:val="0"/>
          <w:numId w:val="0"/>
        </w:numPr>
        <w:spacing w:after="0"/>
      </w:pPr>
      <w:r>
        <w:rPr>
          <w:noProof/>
          <w:lang w:eastAsia="en-GB"/>
        </w:rPr>
        <w:drawing>
          <wp:inline distT="0" distB="0" distL="0" distR="0" wp14:anchorId="743FCCCB" wp14:editId="4EA06F5F">
            <wp:extent cx="5731510" cy="23825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ure 78.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382520"/>
                    </a:xfrm>
                    <a:prstGeom prst="rect">
                      <a:avLst/>
                    </a:prstGeom>
                  </pic:spPr>
                </pic:pic>
              </a:graphicData>
            </a:graphic>
          </wp:inline>
        </w:drawing>
      </w:r>
    </w:p>
    <w:p w:rsidR="00173FB0" w:rsidRDefault="007001C0" w:rsidP="00B67629">
      <w:pPr>
        <w:pStyle w:val="ListNumber"/>
        <w:numPr>
          <w:ilvl w:val="0"/>
          <w:numId w:val="0"/>
        </w:numPr>
        <w:spacing w:after="0"/>
        <w:rPr>
          <w:i/>
        </w:rPr>
      </w:pPr>
      <w:r w:rsidRPr="007001C0">
        <w:rPr>
          <w:i/>
        </w:rPr>
        <w:t>Source: Online Estate and Letting Agents Survey (April 2012)</w:t>
      </w:r>
    </w:p>
    <w:p w:rsidR="005D64F6" w:rsidRDefault="005D64F6" w:rsidP="00B67629">
      <w:pPr>
        <w:pStyle w:val="ListNumber"/>
        <w:numPr>
          <w:ilvl w:val="0"/>
          <w:numId w:val="0"/>
        </w:numPr>
        <w:spacing w:after="0"/>
        <w:rPr>
          <w:i/>
        </w:rPr>
      </w:pPr>
    </w:p>
    <w:p w:rsidR="005D64F6" w:rsidRDefault="005D64F6" w:rsidP="009149D7">
      <w:pPr>
        <w:pStyle w:val="ListNumber"/>
      </w:pPr>
      <w:r>
        <w:t>Considering rental properties</w:t>
      </w:r>
      <w:r w:rsidR="009149D7">
        <w:t>, in Table 10</w:t>
      </w:r>
      <w:r>
        <w:t xml:space="preserve"> below we reproduce Figure 81 from the </w:t>
      </w:r>
      <w:r w:rsidR="006713D2" w:rsidRPr="006713D2">
        <w:t>CWSS12</w:t>
      </w:r>
      <w:r w:rsidR="006713D2">
        <w:t xml:space="preserve"> </w:t>
      </w:r>
      <w:r>
        <w:t xml:space="preserve">which provides data on entry-level private rents. </w:t>
      </w:r>
      <w:r w:rsidR="005301D2">
        <w:t xml:space="preserve">Applying the ‘Income Threshold’ approach, again taking a two-bedroom home as our definition of the ‘entry-level’ dwelling, the </w:t>
      </w:r>
      <w:r w:rsidR="00B33D1F">
        <w:t xml:space="preserve">required income </w:t>
      </w:r>
      <w:r w:rsidR="005301D2">
        <w:t xml:space="preserve">for a dwelling of this size in Chichester South is £30,000; this is calculated by taking the monthly rent of £625, multiplying by 12 (£7,500), and multiplying this by a further 4 to reflect the threshold of 25%.  </w:t>
      </w:r>
    </w:p>
    <w:p w:rsidR="009149D7" w:rsidRPr="009149D7" w:rsidRDefault="009149D7" w:rsidP="009149D7">
      <w:pPr>
        <w:pStyle w:val="Caption"/>
        <w:rPr>
          <w:b w:val="0"/>
        </w:rPr>
      </w:pPr>
      <w:r>
        <w:t xml:space="preserve">Table </w:t>
      </w:r>
      <w:fldSimple w:instr=" SEQ Table \* ARABIC ">
        <w:r w:rsidR="00B25544">
          <w:rPr>
            <w:noProof/>
          </w:rPr>
          <w:t>10</w:t>
        </w:r>
      </w:fldSimple>
      <w:r>
        <w:t xml:space="preserve">: </w:t>
      </w:r>
      <w:r w:rsidRPr="009149D7">
        <w:t xml:space="preserve">Estimated </w:t>
      </w:r>
      <w:r w:rsidR="000D2F64">
        <w:t>e</w:t>
      </w:r>
      <w:r w:rsidRPr="009149D7">
        <w:t>ntry-</w:t>
      </w:r>
      <w:r w:rsidR="000D2F64">
        <w:t>l</w:t>
      </w:r>
      <w:r w:rsidRPr="009149D7">
        <w:t xml:space="preserve">evel </w:t>
      </w:r>
      <w:r w:rsidR="000D2F64">
        <w:t>p</w:t>
      </w:r>
      <w:r w:rsidRPr="009149D7">
        <w:t xml:space="preserve">rivate </w:t>
      </w:r>
      <w:r w:rsidR="000D2F64">
        <w:t>r</w:t>
      </w:r>
      <w:r w:rsidRPr="009149D7">
        <w:t xml:space="preserve">ents by </w:t>
      </w:r>
      <w:r w:rsidR="000D2F64">
        <w:t>s</w:t>
      </w:r>
      <w:r w:rsidRPr="009149D7">
        <w:t>ub-</w:t>
      </w:r>
      <w:r w:rsidR="000D2F64">
        <w:t>a</w:t>
      </w:r>
      <w:r w:rsidRPr="009149D7">
        <w:t>rea (</w:t>
      </w:r>
      <w:proofErr w:type="spellStart"/>
      <w:r w:rsidRPr="009149D7">
        <w:t>pcm</w:t>
      </w:r>
      <w:proofErr w:type="spellEnd"/>
      <w:r w:rsidRPr="009149D7">
        <w:t>)</w:t>
      </w:r>
    </w:p>
    <w:p w:rsidR="005D64F6" w:rsidRPr="005D64F6" w:rsidRDefault="005D64F6" w:rsidP="00B67629">
      <w:pPr>
        <w:pStyle w:val="ListNumber"/>
        <w:numPr>
          <w:ilvl w:val="0"/>
          <w:numId w:val="0"/>
        </w:numPr>
        <w:spacing w:after="0"/>
      </w:pPr>
      <w:r>
        <w:rPr>
          <w:noProof/>
          <w:lang w:eastAsia="en-GB"/>
        </w:rPr>
        <w:drawing>
          <wp:inline distT="0" distB="0" distL="0" distR="0" wp14:anchorId="7BDD7171" wp14:editId="7955E566">
            <wp:extent cx="5731510" cy="22872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8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7001C0" w:rsidRDefault="005301D2" w:rsidP="00B67629">
      <w:pPr>
        <w:pStyle w:val="ListNumber"/>
        <w:numPr>
          <w:ilvl w:val="0"/>
          <w:numId w:val="0"/>
        </w:numPr>
        <w:spacing w:after="0"/>
      </w:pPr>
      <w:r w:rsidRPr="007001C0">
        <w:rPr>
          <w:i/>
        </w:rPr>
        <w:t>Source: Online Estate and Letting Agents Survey (April 2012)</w:t>
      </w:r>
    </w:p>
    <w:p w:rsidR="005301D2" w:rsidRDefault="005301D2" w:rsidP="00B67629">
      <w:pPr>
        <w:pStyle w:val="ListNumber"/>
        <w:numPr>
          <w:ilvl w:val="0"/>
          <w:numId w:val="0"/>
        </w:numPr>
        <w:spacing w:after="0"/>
      </w:pPr>
    </w:p>
    <w:p w:rsidR="00B755E6" w:rsidRPr="00B755E6" w:rsidRDefault="00B755E6" w:rsidP="009149D7">
      <w:pPr>
        <w:pStyle w:val="ListNumber"/>
      </w:pPr>
      <w:r w:rsidRPr="00B755E6">
        <w:t xml:space="preserve">In </w:t>
      </w:r>
      <w:r w:rsidR="009149D7">
        <w:t>Table 11</w:t>
      </w:r>
      <w:r w:rsidRPr="00B755E6">
        <w:t xml:space="preserve"> below we reproduce figure 93 from the </w:t>
      </w:r>
      <w:r w:rsidR="006713D2" w:rsidRPr="006713D2">
        <w:t>CWSS12</w:t>
      </w:r>
      <w:r w:rsidRPr="00B755E6">
        <w:t xml:space="preserve"> that provides an estimation of that proportion of households for unable to access market housing (for sale or for rent). This shows that roughly 30% of all households </w:t>
      </w:r>
      <w:r w:rsidRPr="00B755E6">
        <w:lastRenderedPageBreak/>
        <w:t xml:space="preserve">cannot afford housing suited to their needs without subsidy.  </w:t>
      </w:r>
      <w:r w:rsidR="005301D2">
        <w:t>We note that the findings match our own calculations, arriving at a threshold of £30,000 to access market housing in Chichester</w:t>
      </w:r>
      <w:r w:rsidR="00980537">
        <w:t xml:space="preserve"> South</w:t>
      </w:r>
      <w:r w:rsidR="005301D2">
        <w:t xml:space="preserve">. </w:t>
      </w:r>
    </w:p>
    <w:p w:rsidR="009149D7" w:rsidRDefault="009149D7" w:rsidP="009149D7">
      <w:pPr>
        <w:pStyle w:val="Caption"/>
      </w:pPr>
      <w:r>
        <w:t xml:space="preserve">Table </w:t>
      </w:r>
      <w:fldSimple w:instr=" SEQ Table \* ARABIC ">
        <w:r w:rsidR="00B25544">
          <w:rPr>
            <w:noProof/>
          </w:rPr>
          <w:t>11</w:t>
        </w:r>
      </w:fldSimple>
      <w:r>
        <w:t xml:space="preserve">: </w:t>
      </w:r>
      <w:r w:rsidRPr="00A8469E">
        <w:t xml:space="preserve">Estimated </w:t>
      </w:r>
      <w:r w:rsidR="000D2F64">
        <w:t>p</w:t>
      </w:r>
      <w:r w:rsidRPr="00A8469E">
        <w:t xml:space="preserve">roportion of </w:t>
      </w:r>
      <w:r w:rsidR="000D2F64">
        <w:t>h</w:t>
      </w:r>
      <w:r w:rsidRPr="00A8469E">
        <w:t xml:space="preserve">ouseholds </w:t>
      </w:r>
      <w:r w:rsidR="000D2F64">
        <w:t>u</w:t>
      </w:r>
      <w:r w:rsidRPr="00A8469E">
        <w:t xml:space="preserve">nable to </w:t>
      </w:r>
      <w:r w:rsidR="000D2F64">
        <w:t>a</w:t>
      </w:r>
      <w:r w:rsidRPr="00A8469E">
        <w:t xml:space="preserve">fford </w:t>
      </w:r>
      <w:r w:rsidR="000D2F64">
        <w:t>m</w:t>
      </w:r>
      <w:r w:rsidRPr="00A8469E">
        <w:t xml:space="preserve">arket </w:t>
      </w:r>
      <w:r w:rsidR="000D2F64">
        <w:t>h</w:t>
      </w:r>
      <w:r w:rsidRPr="00A8469E">
        <w:t xml:space="preserve">ousing without </w:t>
      </w:r>
      <w:r w:rsidR="000D2F64">
        <w:t>s</w:t>
      </w:r>
      <w:r w:rsidRPr="00A8469E">
        <w:t>ubsidy</w:t>
      </w:r>
    </w:p>
    <w:p w:rsidR="004E7534" w:rsidRDefault="00B67629" w:rsidP="00B67629">
      <w:pPr>
        <w:pStyle w:val="ListNumber"/>
        <w:numPr>
          <w:ilvl w:val="0"/>
          <w:numId w:val="0"/>
        </w:numPr>
        <w:spacing w:after="0"/>
      </w:pPr>
      <w:r>
        <w:rPr>
          <w:noProof/>
          <w:lang w:eastAsia="en-GB"/>
        </w:rPr>
        <w:drawing>
          <wp:inline distT="0" distB="0" distL="0" distR="0" wp14:anchorId="6F4E62BA" wp14:editId="2D2E7055">
            <wp:extent cx="5325035" cy="350793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93.PNG"/>
                    <pic:cNvPicPr/>
                  </pic:nvPicPr>
                  <pic:blipFill>
                    <a:blip r:embed="rId22">
                      <a:extLst>
                        <a:ext uri="{28A0092B-C50C-407E-A947-70E740481C1C}">
                          <a14:useLocalDpi xmlns:a14="http://schemas.microsoft.com/office/drawing/2010/main" val="0"/>
                        </a:ext>
                      </a:extLst>
                    </a:blip>
                    <a:stretch>
                      <a:fillRect/>
                    </a:stretch>
                  </pic:blipFill>
                  <pic:spPr>
                    <a:xfrm>
                      <a:off x="0" y="0"/>
                      <a:ext cx="5328443" cy="3510184"/>
                    </a:xfrm>
                    <a:prstGeom prst="rect">
                      <a:avLst/>
                    </a:prstGeom>
                  </pic:spPr>
                </pic:pic>
              </a:graphicData>
            </a:graphic>
          </wp:inline>
        </w:drawing>
      </w:r>
    </w:p>
    <w:p w:rsidR="004E7534" w:rsidRDefault="00B67629" w:rsidP="00B67629">
      <w:pPr>
        <w:pStyle w:val="ListNumber"/>
        <w:numPr>
          <w:ilvl w:val="0"/>
          <w:numId w:val="0"/>
        </w:numPr>
        <w:spacing w:after="0"/>
        <w:rPr>
          <w:i/>
        </w:rPr>
      </w:pPr>
      <w:r w:rsidRPr="00B67629">
        <w:rPr>
          <w:i/>
        </w:rPr>
        <w:t>Source: Online Estate and Letting Agents Survey (April 2012) and Experian (2011)</w:t>
      </w:r>
    </w:p>
    <w:p w:rsidR="00B755E6" w:rsidRPr="00B67629" w:rsidRDefault="00B755E6" w:rsidP="00B67629">
      <w:pPr>
        <w:pStyle w:val="ListNumber"/>
        <w:numPr>
          <w:ilvl w:val="0"/>
          <w:numId w:val="0"/>
        </w:numPr>
        <w:spacing w:after="0"/>
        <w:rPr>
          <w:i/>
        </w:rPr>
      </w:pPr>
    </w:p>
    <w:p w:rsidR="00A117E1" w:rsidRDefault="00B755E6" w:rsidP="009149D7">
      <w:pPr>
        <w:pStyle w:val="ListNumber"/>
      </w:pPr>
      <w:r>
        <w:t>It is important to bear in mind that</w:t>
      </w:r>
      <w:r w:rsidR="008F57D4">
        <w:t xml:space="preserve"> this data was gathered in 201</w:t>
      </w:r>
      <w:r w:rsidR="00980537">
        <w:t>2</w:t>
      </w:r>
      <w:r w:rsidR="008F57D4">
        <w:t xml:space="preserve">, and should therefore be treated with some caution. However, given broader </w:t>
      </w:r>
      <w:r w:rsidR="002B43D6">
        <w:t>economic</w:t>
      </w:r>
      <w:r w:rsidR="008F57D4">
        <w:t xml:space="preserve"> trends in the UK since 201</w:t>
      </w:r>
      <w:r w:rsidR="00980537">
        <w:t>2</w:t>
      </w:r>
      <w:r w:rsidR="008F57D4">
        <w:t xml:space="preserve">, it is unlikely affordability has improved </w:t>
      </w:r>
      <w:proofErr w:type="gramStart"/>
      <w:r w:rsidR="008F57D4">
        <w:t>substantially,</w:t>
      </w:r>
      <w:proofErr w:type="gramEnd"/>
      <w:r w:rsidR="008F57D4">
        <w:t xml:space="preserve"> indeed the reverse may be the case. </w:t>
      </w:r>
    </w:p>
    <w:p w:rsidR="008F57D4" w:rsidRDefault="00A117E1" w:rsidP="009149D7">
      <w:pPr>
        <w:pStyle w:val="ListNumber"/>
      </w:pPr>
      <w:r>
        <w:t>A</w:t>
      </w:r>
      <w:r w:rsidR="008F57D4">
        <w:t xml:space="preserve"> more up</w:t>
      </w:r>
      <w:r w:rsidR="002B43D6">
        <w:t>-</w:t>
      </w:r>
      <w:r w:rsidR="008F57D4">
        <w:t>to</w:t>
      </w:r>
      <w:r w:rsidR="002B43D6">
        <w:t>-</w:t>
      </w:r>
      <w:r w:rsidR="008F57D4">
        <w:t xml:space="preserve">date indication of affordability can be taken from the </w:t>
      </w:r>
      <w:r w:rsidR="008F57D4" w:rsidRPr="0087026F">
        <w:rPr>
          <w:lang w:val="en-US"/>
        </w:rPr>
        <w:t>AHDNS14</w:t>
      </w:r>
      <w:r w:rsidR="008F57D4">
        <w:rPr>
          <w:lang w:val="en-US"/>
        </w:rPr>
        <w:t xml:space="preserve">; this study records the </w:t>
      </w:r>
      <w:r w:rsidR="0051787A">
        <w:rPr>
          <w:lang w:val="en-US"/>
        </w:rPr>
        <w:t>‘</w:t>
      </w:r>
      <w:r w:rsidR="00AC56A0" w:rsidRPr="009B4E86">
        <w:t>Affordability Ratio</w:t>
      </w:r>
      <w:r w:rsidR="0051787A">
        <w:t>’</w:t>
      </w:r>
      <w:r w:rsidR="008F57D4">
        <w:t>. This</w:t>
      </w:r>
      <w:r w:rsidR="00AC56A0" w:rsidRPr="009B4E86">
        <w:t xml:space="preserve"> is a standard measure of affordability </w:t>
      </w:r>
      <w:r w:rsidR="008F57D4">
        <w:t>which expresses house prices a</w:t>
      </w:r>
      <w:r w:rsidR="002923B7">
        <w:t>s a</w:t>
      </w:r>
      <w:r w:rsidR="008F57D4">
        <w:t xml:space="preserve"> multiple of household income. </w:t>
      </w:r>
    </w:p>
    <w:p w:rsidR="00AC56A0" w:rsidRDefault="008F57D4" w:rsidP="009149D7">
      <w:pPr>
        <w:pStyle w:val="ListNumber"/>
        <w:rPr>
          <w:i/>
          <w:lang w:val="en-US"/>
        </w:rPr>
      </w:pPr>
      <w:r w:rsidRPr="0087026F">
        <w:rPr>
          <w:lang w:val="en-US"/>
        </w:rPr>
        <w:t>AHDNS14</w:t>
      </w:r>
      <w:r>
        <w:rPr>
          <w:lang w:val="en-US"/>
        </w:rPr>
        <w:t xml:space="preserve"> </w:t>
      </w:r>
      <w:r w:rsidR="00AC56A0">
        <w:rPr>
          <w:lang w:val="en-US"/>
        </w:rPr>
        <w:t xml:space="preserve">comments that, </w:t>
      </w:r>
      <w:r w:rsidR="00AC56A0" w:rsidRPr="0000621F">
        <w:rPr>
          <w:i/>
          <w:lang w:val="en-US"/>
        </w:rPr>
        <w:t xml:space="preserve">‘the evidence indicates that affordability issues are significantly more acute in </w:t>
      </w:r>
      <w:proofErr w:type="spellStart"/>
      <w:r w:rsidR="00AC56A0" w:rsidRPr="0000621F">
        <w:rPr>
          <w:i/>
          <w:lang w:val="en-US"/>
        </w:rPr>
        <w:t>Chichester</w:t>
      </w:r>
      <w:proofErr w:type="spellEnd"/>
      <w:r w:rsidR="00AC56A0" w:rsidRPr="0000621F">
        <w:rPr>
          <w:i/>
          <w:lang w:val="en-US"/>
        </w:rPr>
        <w:t xml:space="preserve"> than comparator areas with the </w:t>
      </w:r>
      <w:r w:rsidR="005F5CF8">
        <w:rPr>
          <w:i/>
          <w:lang w:val="en-US"/>
        </w:rPr>
        <w:t>District</w:t>
      </w:r>
      <w:r w:rsidR="00AC56A0" w:rsidRPr="0000621F">
        <w:rPr>
          <w:i/>
          <w:lang w:val="en-US"/>
        </w:rPr>
        <w:t xml:space="preserve"> having a lower quartile affordability ratio of 10.41, considerably worse than the county average (9.10). Affordability has worsened markedly since 1997 (when the ratio was 4.40); however, over the past decade it has worsened at a slower rate in </w:t>
      </w:r>
      <w:proofErr w:type="spellStart"/>
      <w:r w:rsidR="00AC56A0" w:rsidRPr="0000621F">
        <w:rPr>
          <w:i/>
          <w:lang w:val="en-US"/>
        </w:rPr>
        <w:t>Chichester</w:t>
      </w:r>
      <w:proofErr w:type="spellEnd"/>
      <w:r w:rsidR="00AC56A0" w:rsidRPr="0000621F">
        <w:rPr>
          <w:i/>
          <w:lang w:val="en-US"/>
        </w:rPr>
        <w:t xml:space="preserve"> (86%) than across West Sussex as a whole (115%).</w:t>
      </w:r>
      <w:r w:rsidR="0000621F" w:rsidRPr="009144D7">
        <w:rPr>
          <w:rStyle w:val="FootnoteReference"/>
          <w:lang w:val="en-US"/>
        </w:rPr>
        <w:footnoteReference w:id="23"/>
      </w:r>
    </w:p>
    <w:p w:rsidR="00980537" w:rsidRPr="00980537" w:rsidRDefault="00980537" w:rsidP="009149D7">
      <w:pPr>
        <w:pStyle w:val="ListNumber"/>
        <w:rPr>
          <w:lang w:val="en-US"/>
        </w:rPr>
      </w:pPr>
      <w:r w:rsidRPr="00980537">
        <w:rPr>
          <w:lang w:val="en-US"/>
        </w:rPr>
        <w:t xml:space="preserve">We can calculate from </w:t>
      </w:r>
      <w:r>
        <w:rPr>
          <w:lang w:val="en-US"/>
        </w:rPr>
        <w:t xml:space="preserve">the purchase threshold set out above that the Median Affordability Ratio for </w:t>
      </w:r>
      <w:proofErr w:type="spellStart"/>
      <w:r>
        <w:rPr>
          <w:lang w:val="en-US"/>
        </w:rPr>
        <w:t>Chichester</w:t>
      </w:r>
      <w:proofErr w:type="spellEnd"/>
      <w:r>
        <w:rPr>
          <w:lang w:val="en-US"/>
        </w:rPr>
        <w:t xml:space="preserve"> South was </w:t>
      </w:r>
      <w:r w:rsidR="00C830A2">
        <w:rPr>
          <w:lang w:val="en-US"/>
        </w:rPr>
        <w:t>3.87 (£156,000/£40,</w:t>
      </w:r>
      <w:r w:rsidR="00142305">
        <w:rPr>
          <w:lang w:val="en-US"/>
        </w:rPr>
        <w:t>278). This suggests that, while the majority of households are able to access housing suited to their needs</w:t>
      </w:r>
      <w:r w:rsidR="00A117E1">
        <w:rPr>
          <w:lang w:val="en-US"/>
        </w:rPr>
        <w:t xml:space="preserve"> within the sub-area</w:t>
      </w:r>
      <w:r w:rsidR="00142305">
        <w:rPr>
          <w:lang w:val="en-US"/>
        </w:rPr>
        <w:t xml:space="preserve">, there is an acute affordability crisis affecting those on lower incomes. </w:t>
      </w:r>
    </w:p>
    <w:p w:rsidR="00142305" w:rsidRDefault="002B43D6" w:rsidP="009149D7">
      <w:pPr>
        <w:pStyle w:val="ListNumber"/>
        <w:rPr>
          <w:lang w:val="en-US"/>
        </w:rPr>
      </w:pPr>
      <w:r>
        <w:rPr>
          <w:lang w:val="en-US"/>
        </w:rPr>
        <w:t xml:space="preserve">We have noted above that a realistic multiple of household income considered by providers of mortgage products does not exceed 4; therefore, 10.41 supports the </w:t>
      </w:r>
      <w:r w:rsidR="00041812">
        <w:rPr>
          <w:lang w:val="en-US"/>
        </w:rPr>
        <w:t xml:space="preserve">conclusion that for those on low incomes market housing for purchase is </w:t>
      </w:r>
      <w:r w:rsidR="0051787A">
        <w:rPr>
          <w:lang w:val="en-US"/>
        </w:rPr>
        <w:t xml:space="preserve">well beyond their means, providing a strong argument for social rented dwellings to accommodate those most in need. </w:t>
      </w:r>
      <w:r>
        <w:rPr>
          <w:lang w:val="en-US"/>
        </w:rPr>
        <w:t xml:space="preserve"> </w:t>
      </w:r>
    </w:p>
    <w:p w:rsidR="008F57D4" w:rsidRPr="008F57D4" w:rsidRDefault="008F57D4" w:rsidP="009149D7">
      <w:pPr>
        <w:pStyle w:val="ListNumber"/>
        <w:rPr>
          <w:lang w:val="en-US"/>
        </w:rPr>
      </w:pPr>
      <w:r>
        <w:rPr>
          <w:lang w:val="en-US"/>
        </w:rPr>
        <w:t>Given these trends of worsening affo</w:t>
      </w:r>
      <w:r w:rsidR="00142305">
        <w:rPr>
          <w:lang w:val="en-US"/>
        </w:rPr>
        <w:t xml:space="preserve">rdability at the </w:t>
      </w:r>
      <w:r w:rsidR="005F5CF8">
        <w:rPr>
          <w:lang w:val="en-US"/>
        </w:rPr>
        <w:t>District</w:t>
      </w:r>
      <w:r w:rsidR="00142305">
        <w:rPr>
          <w:lang w:val="en-US"/>
        </w:rPr>
        <w:t xml:space="preserve"> level, </w:t>
      </w:r>
      <w:r w:rsidR="001D6E40">
        <w:rPr>
          <w:lang w:val="en-US"/>
        </w:rPr>
        <w:t xml:space="preserve">it is not unreasonable to assume the affordability picture is worse now </w:t>
      </w:r>
      <w:r w:rsidR="00142305">
        <w:rPr>
          <w:lang w:val="en-US"/>
        </w:rPr>
        <w:t xml:space="preserve">in the NPA </w:t>
      </w:r>
      <w:r w:rsidR="001D6E40">
        <w:rPr>
          <w:lang w:val="en-US"/>
        </w:rPr>
        <w:t xml:space="preserve">than in 2011. Indeed, </w:t>
      </w:r>
      <w:r w:rsidRPr="008F57D4">
        <w:rPr>
          <w:lang w:val="en-US"/>
        </w:rPr>
        <w:t xml:space="preserve">Land Registry Price Paid data suggests that between 2007 and 2016 house prices increased in West </w:t>
      </w:r>
      <w:proofErr w:type="spellStart"/>
      <w:r w:rsidRPr="008F57D4">
        <w:rPr>
          <w:lang w:val="en-US"/>
        </w:rPr>
        <w:t>Wittering</w:t>
      </w:r>
      <w:proofErr w:type="spellEnd"/>
      <w:r w:rsidRPr="008F57D4">
        <w:rPr>
          <w:lang w:val="en-US"/>
        </w:rPr>
        <w:t xml:space="preserve"> by an average of 18%</w:t>
      </w:r>
      <w:r w:rsidR="001D6E40">
        <w:rPr>
          <w:lang w:val="en-US"/>
        </w:rPr>
        <w:t xml:space="preserve">; unless average household incomes increased by the same margin or more, affordability would indeed have deteriorated. </w:t>
      </w:r>
    </w:p>
    <w:p w:rsidR="00A117E1" w:rsidRDefault="00D71466" w:rsidP="009149D7">
      <w:pPr>
        <w:pStyle w:val="ListNumber"/>
      </w:pPr>
      <w:r w:rsidRPr="00D71466">
        <w:rPr>
          <w:bCs/>
          <w:iCs/>
          <w:color w:val="000000" w:themeColor="text1"/>
          <w:lang w:val="en-US"/>
        </w:rPr>
        <w:t>Moreover, it is worth bearing in mind that</w:t>
      </w:r>
      <w:r w:rsidR="0051787A">
        <w:rPr>
          <w:bCs/>
          <w:iCs/>
          <w:color w:val="000000" w:themeColor="text1"/>
          <w:lang w:val="en-US"/>
        </w:rPr>
        <w:t xml:space="preserve"> West </w:t>
      </w:r>
      <w:proofErr w:type="spellStart"/>
      <w:r w:rsidR="0051787A">
        <w:rPr>
          <w:bCs/>
          <w:iCs/>
          <w:color w:val="000000" w:themeColor="text1"/>
          <w:lang w:val="en-US"/>
        </w:rPr>
        <w:t>Wittering</w:t>
      </w:r>
      <w:proofErr w:type="spellEnd"/>
      <w:r w:rsidR="0051787A">
        <w:rPr>
          <w:bCs/>
          <w:iCs/>
          <w:color w:val="000000" w:themeColor="text1"/>
          <w:lang w:val="en-US"/>
        </w:rPr>
        <w:t xml:space="preserve"> itself may be a</w:t>
      </w:r>
      <w:r w:rsidRPr="00D71466">
        <w:rPr>
          <w:bCs/>
          <w:iCs/>
          <w:color w:val="000000" w:themeColor="text1"/>
          <w:lang w:val="en-US"/>
        </w:rPr>
        <w:t xml:space="preserve"> pocket of high prices. Land registry price paid data suggests that, on average, dwellings in the settlement were 35% higher than for </w:t>
      </w:r>
      <w:proofErr w:type="spellStart"/>
      <w:r w:rsidRPr="00D71466">
        <w:rPr>
          <w:bCs/>
          <w:iCs/>
          <w:color w:val="000000" w:themeColor="text1"/>
          <w:lang w:val="en-US"/>
        </w:rPr>
        <w:t>Chichester</w:t>
      </w:r>
      <w:proofErr w:type="spellEnd"/>
      <w:r w:rsidRPr="00D71466">
        <w:rPr>
          <w:bCs/>
          <w:iCs/>
          <w:color w:val="000000" w:themeColor="text1"/>
          <w:lang w:val="en-US"/>
        </w:rPr>
        <w:t xml:space="preserve"> as a whole.</w:t>
      </w:r>
      <w:r w:rsidR="00A117E1">
        <w:rPr>
          <w:bCs/>
          <w:iCs/>
          <w:color w:val="000000" w:themeColor="text1"/>
          <w:lang w:val="en-US"/>
        </w:rPr>
        <w:t xml:space="preserve"> </w:t>
      </w:r>
      <w:r w:rsidR="00A117E1">
        <w:t xml:space="preserve">As part of this HNA, we have canvassed the view of estate agents operating in the area primarily to check the assumption that Chichester South was a suitable proxy for West Wittering as regards the market for private housing. </w:t>
      </w:r>
    </w:p>
    <w:p w:rsidR="00A117E1" w:rsidRDefault="00A117E1" w:rsidP="009149D7">
      <w:pPr>
        <w:pStyle w:val="ListNumber"/>
      </w:pPr>
      <w:r>
        <w:lastRenderedPageBreak/>
        <w:t xml:space="preserve">The feedback we received from two agents (Astons and Henry Adams) </w:t>
      </w:r>
      <w:proofErr w:type="gramStart"/>
      <w:r>
        <w:t>were</w:t>
      </w:r>
      <w:proofErr w:type="gramEnd"/>
      <w:r>
        <w:t xml:space="preserve"> that ‘</w:t>
      </w:r>
      <w:r w:rsidRPr="00456A47">
        <w:t xml:space="preserve">West Wittering village itself does command a higher price than the surrounding areas such as East Wittering or </w:t>
      </w:r>
      <w:proofErr w:type="spellStart"/>
      <w:r w:rsidRPr="00456A47">
        <w:t>Bracklesham</w:t>
      </w:r>
      <w:proofErr w:type="spellEnd"/>
      <w:r w:rsidRPr="00456A47">
        <w:t xml:space="preserve"> Bay</w:t>
      </w:r>
      <w:r w:rsidR="000D2F64">
        <w:t>.</w:t>
      </w:r>
      <w:r>
        <w:rPr>
          <w:rStyle w:val="FootnoteReference"/>
        </w:rPr>
        <w:footnoteReference w:id="24"/>
      </w:r>
      <w:r>
        <w:t xml:space="preserve"> The</w:t>
      </w:r>
      <w:r w:rsidR="0051787A">
        <w:t>y reported that house prices have</w:t>
      </w:r>
      <w:r>
        <w:t xml:space="preserve"> increased substantially over the past 5 years, by between 20 and 30%. </w:t>
      </w:r>
    </w:p>
    <w:p w:rsidR="0051787A" w:rsidRDefault="00A117E1" w:rsidP="009149D7">
      <w:pPr>
        <w:pStyle w:val="ListNumber"/>
      </w:pPr>
      <w:r>
        <w:t>I</w:t>
      </w:r>
      <w:r w:rsidR="000D2F64">
        <w:t>n</w:t>
      </w:r>
      <w:r>
        <w:t xml:space="preserve"> addition, in response to the question, </w:t>
      </w:r>
      <w:r w:rsidRPr="00A117E1">
        <w:rPr>
          <w:i/>
        </w:rPr>
        <w:t xml:space="preserve">‘please can you supply approximate prices for the following different types of dwelling (by way of example properties sold in the second half of 2017)’ </w:t>
      </w:r>
      <w:r>
        <w:t>in respect of a two bedroom dwelling, Astons provided an estimate of £250,000 and He</w:t>
      </w:r>
      <w:r w:rsidR="0051787A">
        <w:t xml:space="preserve">nry Adams put forward £325,000; from this data it is possible to derive an average of £287,500 and treat this as a working valuation for an entry level property in West Wittering at the start of 2018. </w:t>
      </w:r>
      <w:r>
        <w:t xml:space="preserve"> </w:t>
      </w:r>
    </w:p>
    <w:p w:rsidR="005374F5" w:rsidRDefault="0051787A" w:rsidP="009149D7">
      <w:pPr>
        <w:pStyle w:val="ListNumber"/>
      </w:pPr>
      <w:r>
        <w:t>At the very least, t</w:t>
      </w:r>
      <w:r w:rsidR="00A117E1">
        <w:t xml:space="preserve">his </w:t>
      </w:r>
      <w:r>
        <w:t>calls into question as to whether the figure of</w:t>
      </w:r>
      <w:r w:rsidR="00A117E1">
        <w:t xml:space="preserve"> </w:t>
      </w:r>
      <w:r w:rsidR="00A117E1" w:rsidRPr="00456A47">
        <w:t>£156,000 for a two b</w:t>
      </w:r>
      <w:r w:rsidR="00A117E1">
        <w:t xml:space="preserve">edroom home in Chichester South reported in the </w:t>
      </w:r>
      <w:r w:rsidR="006713D2" w:rsidRPr="006713D2">
        <w:t>CWSS12</w:t>
      </w:r>
      <w:r w:rsidR="00A117E1">
        <w:t xml:space="preserve"> </w:t>
      </w:r>
      <w:r>
        <w:t xml:space="preserve">can be used as a proxy for West Wittering. </w:t>
      </w:r>
      <w:r w:rsidR="005374F5">
        <w:t>If this provides a more accurate estimate of entry-level house prices this</w:t>
      </w:r>
      <w:r w:rsidR="00A117E1">
        <w:t xml:space="preserve"> would indicate a more serious position as regards affordability </w:t>
      </w:r>
      <w:r w:rsidR="00C62419">
        <w:t>within the designated</w:t>
      </w:r>
      <w:r w:rsidR="005374F5">
        <w:t xml:space="preserve"> area</w:t>
      </w:r>
      <w:r w:rsidR="00A117E1">
        <w:t xml:space="preserve">. </w:t>
      </w:r>
    </w:p>
    <w:p w:rsidR="00C62419" w:rsidRDefault="000B6AE2" w:rsidP="009149D7">
      <w:pPr>
        <w:pStyle w:val="ListNumber"/>
      </w:pPr>
      <w:r>
        <w:t>The</w:t>
      </w:r>
      <w:r w:rsidR="00C62419">
        <w:t xml:space="preserve"> ‘purchase threshold’</w:t>
      </w:r>
      <w:r w:rsidR="00D0670B">
        <w:t xml:space="preserve"> calculation for a property valued at £287,500</w:t>
      </w:r>
      <w:r w:rsidR="00C62419">
        <w:t>,</w:t>
      </w:r>
      <w:r>
        <w:t xml:space="preserve"> </w:t>
      </w:r>
      <w:r w:rsidRPr="000B6AE2">
        <w:t>using an income multiple set at 3.5,</w:t>
      </w:r>
      <w:r w:rsidR="00C62419">
        <w:t xml:space="preserve"> </w:t>
      </w:r>
      <w:r>
        <w:t>would be £74,</w:t>
      </w:r>
      <w:r w:rsidR="00D0670B">
        <w:t xml:space="preserve">185. This figure is greatly in excess of the median income for Chichester South of £40,278 in 2012 and should therefore be considered beyond the means of households at this income level. This is reinforced by the Affordability Ratio we can calculate from this figure; assuming median household incomes have remained static since 2012, this metric would stand at 7.13. </w:t>
      </w:r>
    </w:p>
    <w:p w:rsidR="00A117E1" w:rsidRDefault="005374F5" w:rsidP="009149D7">
      <w:pPr>
        <w:pStyle w:val="ListNumber"/>
      </w:pPr>
      <w:r>
        <w:t xml:space="preserve">Notwithstanding, it is important to acknowledge the function local housing market may cover a geography that is greater than West Wittering alone, with </w:t>
      </w:r>
      <w:r w:rsidR="00A117E1">
        <w:t xml:space="preserve">households on lower incomes may be able to access more affordable dwellings within neighbouring areas. </w:t>
      </w:r>
    </w:p>
    <w:p w:rsidR="002E2115" w:rsidRPr="00EF789D" w:rsidRDefault="00C215B9" w:rsidP="009149D7">
      <w:pPr>
        <w:pStyle w:val="Heading2"/>
        <w:rPr>
          <w:lang w:val="en-US"/>
        </w:rPr>
      </w:pPr>
      <w:bookmarkStart w:id="103" w:name="_Toc504464742"/>
      <w:r w:rsidRPr="00EF789D">
        <w:rPr>
          <w:lang w:val="en-US"/>
        </w:rPr>
        <w:t xml:space="preserve">Housing </w:t>
      </w:r>
      <w:r w:rsidR="000D2F64">
        <w:rPr>
          <w:lang w:val="en-US"/>
        </w:rPr>
        <w:t>w</w:t>
      </w:r>
      <w:r w:rsidRPr="00EF789D">
        <w:rPr>
          <w:lang w:val="en-US"/>
        </w:rPr>
        <w:t xml:space="preserve">aiting </w:t>
      </w:r>
      <w:r w:rsidR="000D2F64">
        <w:rPr>
          <w:lang w:val="en-US"/>
        </w:rPr>
        <w:t>l</w:t>
      </w:r>
      <w:r w:rsidRPr="00EF789D">
        <w:rPr>
          <w:lang w:val="en-US"/>
        </w:rPr>
        <w:t>ist</w:t>
      </w:r>
      <w:bookmarkEnd w:id="103"/>
    </w:p>
    <w:p w:rsidR="00C215B9" w:rsidRPr="00C215B9" w:rsidRDefault="00C215B9" w:rsidP="009149D7">
      <w:pPr>
        <w:pStyle w:val="ListNumber"/>
        <w:rPr>
          <w:lang w:val="en-US"/>
        </w:rPr>
      </w:pPr>
      <w:r w:rsidRPr="00C215B9">
        <w:rPr>
          <w:lang w:val="en-US"/>
        </w:rPr>
        <w:t xml:space="preserve">So far, we have considered housing need based on a statistical understanding of affordability derived from household income. A necessary additional component to quantify need for AH in the NPA is identifiable demand expressed through entries on </w:t>
      </w:r>
      <w:proofErr w:type="gramStart"/>
      <w:r w:rsidRPr="00C215B9">
        <w:rPr>
          <w:lang w:val="en-US"/>
        </w:rPr>
        <w:t>a housing</w:t>
      </w:r>
      <w:proofErr w:type="gramEnd"/>
      <w:r w:rsidRPr="00C215B9">
        <w:rPr>
          <w:lang w:val="en-US"/>
        </w:rPr>
        <w:t xml:space="preserve"> needs register. In the absence of such a register that is specific to the NPA, the data contained in the Housing Register Waiting List (HRWL) for the whole </w:t>
      </w:r>
      <w:r w:rsidR="005F5CF8">
        <w:rPr>
          <w:lang w:val="en-US"/>
        </w:rPr>
        <w:t>District</w:t>
      </w:r>
      <w:r w:rsidRPr="00C215B9">
        <w:rPr>
          <w:lang w:val="en-US"/>
        </w:rPr>
        <w:t xml:space="preserve"> maintained by </w:t>
      </w:r>
      <w:proofErr w:type="spellStart"/>
      <w:r w:rsidR="00EF789D">
        <w:rPr>
          <w:lang w:val="en-US"/>
        </w:rPr>
        <w:t>Chichester</w:t>
      </w:r>
      <w:proofErr w:type="spellEnd"/>
      <w:r w:rsidR="00EF789D">
        <w:rPr>
          <w:lang w:val="en-US"/>
        </w:rPr>
        <w:t xml:space="preserve"> </w:t>
      </w:r>
      <w:r w:rsidR="005F5CF8">
        <w:rPr>
          <w:lang w:val="en-US"/>
        </w:rPr>
        <w:t>District</w:t>
      </w:r>
      <w:r w:rsidR="00EF789D">
        <w:rPr>
          <w:lang w:val="en-US"/>
        </w:rPr>
        <w:t xml:space="preserve"> </w:t>
      </w:r>
      <w:r w:rsidRPr="00C215B9">
        <w:rPr>
          <w:lang w:val="en-US"/>
        </w:rPr>
        <w:t>C</w:t>
      </w:r>
      <w:r w:rsidR="00EF789D">
        <w:rPr>
          <w:lang w:val="en-US"/>
        </w:rPr>
        <w:t>ouncil (CDC)</w:t>
      </w:r>
      <w:r w:rsidRPr="00C215B9">
        <w:rPr>
          <w:lang w:val="en-US"/>
        </w:rPr>
        <w:t xml:space="preserve"> may be used. </w:t>
      </w:r>
    </w:p>
    <w:p w:rsidR="00C215B9" w:rsidRPr="00EF789D" w:rsidRDefault="00654232" w:rsidP="009149D7">
      <w:pPr>
        <w:pStyle w:val="ListNumber"/>
        <w:rPr>
          <w:lang w:val="en-US"/>
        </w:rPr>
      </w:pPr>
      <w:r>
        <w:rPr>
          <w:lang w:val="en-US"/>
        </w:rPr>
        <w:t xml:space="preserve">CDC </w:t>
      </w:r>
      <w:proofErr w:type="gramStart"/>
      <w:r>
        <w:rPr>
          <w:lang w:val="en-US"/>
        </w:rPr>
        <w:t>were</w:t>
      </w:r>
      <w:proofErr w:type="gramEnd"/>
      <w:r>
        <w:rPr>
          <w:lang w:val="en-US"/>
        </w:rPr>
        <w:t xml:space="preserve"> contacted</w:t>
      </w:r>
      <w:r w:rsidR="00C215B9" w:rsidRPr="00EF789D">
        <w:rPr>
          <w:lang w:val="en-US"/>
        </w:rPr>
        <w:t xml:space="preserve"> for their assessment of the number of households currently on the waiting list that live in </w:t>
      </w:r>
      <w:r w:rsidR="00EF789D" w:rsidRPr="00EF789D">
        <w:rPr>
          <w:lang w:val="en-US"/>
        </w:rPr>
        <w:t xml:space="preserve">West </w:t>
      </w:r>
      <w:proofErr w:type="spellStart"/>
      <w:r w:rsidR="00EF789D" w:rsidRPr="00EF789D">
        <w:rPr>
          <w:lang w:val="en-US"/>
        </w:rPr>
        <w:t>Wittering</w:t>
      </w:r>
      <w:proofErr w:type="spellEnd"/>
      <w:r w:rsidR="00C215B9" w:rsidRPr="00EF789D">
        <w:rPr>
          <w:lang w:val="en-US"/>
        </w:rPr>
        <w:t xml:space="preserve">. They reported back, </w:t>
      </w:r>
      <w:r w:rsidR="00EF789D" w:rsidRPr="00EF789D">
        <w:rPr>
          <w:rFonts w:ascii="Arial" w:hAnsi="Arial" w:cs="Arial"/>
        </w:rPr>
        <w:t xml:space="preserve">‘there </w:t>
      </w:r>
      <w:r>
        <w:rPr>
          <w:rFonts w:ascii="Arial" w:hAnsi="Arial" w:cs="Arial"/>
        </w:rPr>
        <w:t>are</w:t>
      </w:r>
      <w:r w:rsidR="00EF789D" w:rsidRPr="00EF789D">
        <w:rPr>
          <w:rFonts w:ascii="Arial" w:hAnsi="Arial" w:cs="Arial"/>
        </w:rPr>
        <w:t xml:space="preserve"> currently 21 households on the housing register with a local connection to West Wittering, of which 43% </w:t>
      </w:r>
      <w:r w:rsidR="00EF789D">
        <w:rPr>
          <w:rFonts w:ascii="Arial" w:hAnsi="Arial" w:cs="Arial"/>
        </w:rPr>
        <w:t xml:space="preserve">(9 households) </w:t>
      </w:r>
      <w:r w:rsidR="00EF789D" w:rsidRPr="00EF789D">
        <w:rPr>
          <w:rFonts w:ascii="Arial" w:hAnsi="Arial" w:cs="Arial"/>
        </w:rPr>
        <w:t>are in bands A-C and are considered as having a high priority housing need.’</w:t>
      </w:r>
      <w:r w:rsidR="00EF789D" w:rsidRPr="00EF789D">
        <w:rPr>
          <w:rStyle w:val="FootnoteReference"/>
          <w:rFonts w:cs="Arial"/>
          <w:color w:val="000000" w:themeColor="text1"/>
        </w:rPr>
        <w:footnoteReference w:id="25"/>
      </w:r>
      <w:r w:rsidR="00EF789D">
        <w:rPr>
          <w:rFonts w:ascii="Arial" w:hAnsi="Arial" w:cs="Arial"/>
        </w:rPr>
        <w:t xml:space="preserve"> </w:t>
      </w:r>
    </w:p>
    <w:p w:rsidR="00C215B9" w:rsidRDefault="00EF789D" w:rsidP="009149D7">
      <w:pPr>
        <w:pStyle w:val="ListNumber"/>
        <w:rPr>
          <w:lang w:val="en-US"/>
        </w:rPr>
      </w:pPr>
      <w:r>
        <w:rPr>
          <w:lang w:val="en-US"/>
        </w:rPr>
        <w:t>To understand the significance of this in policy terms, i</w:t>
      </w:r>
      <w:r w:rsidR="00654232">
        <w:rPr>
          <w:lang w:val="en-US"/>
        </w:rPr>
        <w:t>t is n</w:t>
      </w:r>
      <w:r w:rsidR="00704CF8">
        <w:rPr>
          <w:lang w:val="en-US"/>
        </w:rPr>
        <w:t xml:space="preserve">ecessary to consider how many affordable homes </w:t>
      </w:r>
      <w:r w:rsidR="00654232">
        <w:rPr>
          <w:lang w:val="en-US"/>
        </w:rPr>
        <w:t xml:space="preserve">would come forward in the event the </w:t>
      </w:r>
      <w:r w:rsidR="005F5CF8">
        <w:rPr>
          <w:lang w:val="en-US"/>
        </w:rPr>
        <w:t>Parish</w:t>
      </w:r>
      <w:r w:rsidR="00654232">
        <w:rPr>
          <w:lang w:val="en-US"/>
        </w:rPr>
        <w:t xml:space="preserve"> fulfilled th</w:t>
      </w:r>
      <w:r w:rsidR="00DC7A83">
        <w:rPr>
          <w:lang w:val="en-US"/>
        </w:rPr>
        <w:t>e housing need figure set out above</w:t>
      </w:r>
      <w:r w:rsidR="00654232" w:rsidRPr="00654232">
        <w:rPr>
          <w:color w:val="FF0000"/>
          <w:lang w:val="en-US"/>
        </w:rPr>
        <w:t xml:space="preserve"> </w:t>
      </w:r>
      <w:r w:rsidR="00654232">
        <w:rPr>
          <w:lang w:val="en-US"/>
        </w:rPr>
        <w:t xml:space="preserve">through the operation of the Local Authority’s affordable housing policies. This will provide an indication as to whether these policies are sufficient for the purposes of satisfying the </w:t>
      </w:r>
      <w:r w:rsidR="005F5CF8">
        <w:rPr>
          <w:lang w:val="en-US"/>
        </w:rPr>
        <w:t>Parish</w:t>
      </w:r>
      <w:r w:rsidR="00654232">
        <w:rPr>
          <w:lang w:val="en-US"/>
        </w:rPr>
        <w:t xml:space="preserve">’s affordable housing needs. </w:t>
      </w:r>
    </w:p>
    <w:p w:rsidR="00DD58C2" w:rsidRDefault="00C215B9" w:rsidP="009149D7">
      <w:pPr>
        <w:pStyle w:val="ListNumber"/>
        <w:rPr>
          <w:lang w:val="en-US"/>
        </w:rPr>
      </w:pPr>
      <w:r w:rsidRPr="00DD58C2">
        <w:rPr>
          <w:lang w:val="en-US"/>
        </w:rPr>
        <w:t xml:space="preserve">The average of the housing needs projections for the NPA derived from the four projections put forward in ‘quantity’ is </w:t>
      </w:r>
      <w:r w:rsidR="00704CF8" w:rsidRPr="00DD58C2">
        <w:rPr>
          <w:lang w:val="en-US"/>
        </w:rPr>
        <w:t xml:space="preserve">182 </w:t>
      </w:r>
      <w:r w:rsidRPr="00DD58C2">
        <w:rPr>
          <w:lang w:val="en-US"/>
        </w:rPr>
        <w:t xml:space="preserve">dwellings (rounded) to be delivered over the </w:t>
      </w:r>
      <w:r w:rsidR="000375DA">
        <w:rPr>
          <w:lang w:val="en-US"/>
        </w:rPr>
        <w:t>Plan period</w:t>
      </w:r>
      <w:r w:rsidR="00704CF8" w:rsidRPr="00DD58C2">
        <w:rPr>
          <w:lang w:val="en-US"/>
        </w:rPr>
        <w:t xml:space="preserve">; the figure of 9 </w:t>
      </w:r>
      <w:r w:rsidR="002C0C27">
        <w:rPr>
          <w:lang w:val="en-US"/>
        </w:rPr>
        <w:t xml:space="preserve">households </w:t>
      </w:r>
      <w:r w:rsidRPr="00DD58C2">
        <w:rPr>
          <w:lang w:val="en-US"/>
        </w:rPr>
        <w:t xml:space="preserve">represents </w:t>
      </w:r>
      <w:r w:rsidR="00DD58C2" w:rsidRPr="00DD58C2">
        <w:rPr>
          <w:lang w:val="en-US"/>
        </w:rPr>
        <w:t>5</w:t>
      </w:r>
      <w:r w:rsidRPr="00DD58C2">
        <w:rPr>
          <w:lang w:val="en-US"/>
        </w:rPr>
        <w:t>% of this number</w:t>
      </w:r>
      <w:r w:rsidR="00DD58C2" w:rsidRPr="00DD58C2">
        <w:rPr>
          <w:lang w:val="en-US"/>
        </w:rPr>
        <w:t xml:space="preserve"> (rounded)</w:t>
      </w:r>
      <w:r w:rsidRPr="00DD58C2">
        <w:rPr>
          <w:lang w:val="en-US"/>
        </w:rPr>
        <w:t xml:space="preserve">. As we have seen, policy </w:t>
      </w:r>
      <w:r w:rsidR="00DD58C2" w:rsidRPr="00DD58C2">
        <w:rPr>
          <w:lang w:val="en-US"/>
        </w:rPr>
        <w:t>34</w:t>
      </w:r>
      <w:r w:rsidRPr="00DD58C2">
        <w:rPr>
          <w:lang w:val="en-US"/>
        </w:rPr>
        <w:t xml:space="preserve"> of the </w:t>
      </w:r>
      <w:r w:rsidR="00DD58C2" w:rsidRPr="00DD58C2">
        <w:rPr>
          <w:lang w:val="en-US"/>
        </w:rPr>
        <w:t>CLP requires 30% affordable housing on sites of 11 dwellings or more and on sites of 6 to 10 dwellings in areas designated as rural areas, the Council will seek a financial contribution for the provision of affordable dwellings as a commuted sum unless the developer makes onsite provision.</w:t>
      </w:r>
      <w:r w:rsidRPr="00DD58C2">
        <w:rPr>
          <w:lang w:val="en-US"/>
        </w:rPr>
        <w:t xml:space="preserve"> </w:t>
      </w:r>
    </w:p>
    <w:p w:rsidR="00DD58C2" w:rsidRPr="00DD58C2" w:rsidRDefault="00DD58C2" w:rsidP="009149D7">
      <w:pPr>
        <w:pStyle w:val="ListNumber"/>
        <w:rPr>
          <w:lang w:val="en-US"/>
        </w:rPr>
      </w:pPr>
      <w:r w:rsidRPr="00DD58C2">
        <w:rPr>
          <w:lang w:val="en-US"/>
        </w:rPr>
        <w:t xml:space="preserve">This suggests that, </w:t>
      </w:r>
      <w:r w:rsidR="00C215B9" w:rsidRPr="00DD58C2">
        <w:rPr>
          <w:lang w:val="en-US"/>
        </w:rPr>
        <w:t xml:space="preserve">assuming the </w:t>
      </w:r>
      <w:r w:rsidR="005F5CF8">
        <w:rPr>
          <w:lang w:val="en-US"/>
        </w:rPr>
        <w:t>Parish</w:t>
      </w:r>
      <w:r w:rsidR="00C215B9" w:rsidRPr="00DD58C2">
        <w:rPr>
          <w:lang w:val="en-US"/>
        </w:rPr>
        <w:t xml:space="preserve"> achieves the housing numbers set o</w:t>
      </w:r>
      <w:r w:rsidRPr="00DD58C2">
        <w:rPr>
          <w:lang w:val="en-US"/>
        </w:rPr>
        <w:t>ut in this study over the Plan p</w:t>
      </w:r>
      <w:r w:rsidR="00C215B9" w:rsidRPr="00DD58C2">
        <w:rPr>
          <w:lang w:val="en-US"/>
        </w:rPr>
        <w:t xml:space="preserve">eriod, it will </w:t>
      </w:r>
      <w:r w:rsidRPr="00DD58C2">
        <w:rPr>
          <w:lang w:val="en-US"/>
        </w:rPr>
        <w:t>have little difficulty meeting the</w:t>
      </w:r>
      <w:r w:rsidR="00C215B9" w:rsidRPr="00DD58C2">
        <w:rPr>
          <w:lang w:val="en-US"/>
        </w:rPr>
        <w:t xml:space="preserve"> need for AH </w:t>
      </w:r>
      <w:r w:rsidRPr="00DD58C2">
        <w:rPr>
          <w:lang w:val="en-US"/>
        </w:rPr>
        <w:t xml:space="preserve">based on the local authority’s’ HRWL  </w:t>
      </w:r>
      <w:r w:rsidR="00C215B9" w:rsidRPr="00DD58C2">
        <w:rPr>
          <w:lang w:val="en-US"/>
        </w:rPr>
        <w:t xml:space="preserve">given that </w:t>
      </w:r>
      <w:r w:rsidRPr="00DD58C2">
        <w:rPr>
          <w:lang w:val="en-US"/>
        </w:rPr>
        <w:t>182 dwellings may yield</w:t>
      </w:r>
      <w:r w:rsidR="00C215B9" w:rsidRPr="00DD58C2">
        <w:rPr>
          <w:lang w:val="en-US"/>
        </w:rPr>
        <w:t xml:space="preserve"> 5</w:t>
      </w:r>
      <w:r w:rsidRPr="00DD58C2">
        <w:rPr>
          <w:lang w:val="en-US"/>
        </w:rPr>
        <w:t>5</w:t>
      </w:r>
      <w:r w:rsidR="00C215B9" w:rsidRPr="00DD58C2">
        <w:rPr>
          <w:lang w:val="en-US"/>
        </w:rPr>
        <w:t xml:space="preserve"> dwellings (</w:t>
      </w:r>
      <w:r w:rsidRPr="00DD58C2">
        <w:rPr>
          <w:lang w:val="en-US"/>
        </w:rPr>
        <w:t>rounded</w:t>
      </w:r>
      <w:r w:rsidR="00C215B9" w:rsidRPr="00DD58C2">
        <w:rPr>
          <w:lang w:val="en-US"/>
        </w:rPr>
        <w:t xml:space="preserve">). </w:t>
      </w:r>
      <w:r w:rsidRPr="00DD58C2">
        <w:rPr>
          <w:lang w:val="en-US"/>
        </w:rPr>
        <w:t xml:space="preserve">Moreover, these enquiries are from people whose needs could be addressed elsewhere in the </w:t>
      </w:r>
      <w:r w:rsidR="005F5CF8">
        <w:rPr>
          <w:lang w:val="en-US"/>
        </w:rPr>
        <w:t>District</w:t>
      </w:r>
      <w:r w:rsidRPr="00DD58C2">
        <w:rPr>
          <w:lang w:val="en-US"/>
        </w:rPr>
        <w:t>.</w:t>
      </w:r>
    </w:p>
    <w:p w:rsidR="00C215B9" w:rsidRPr="00DD58C2" w:rsidRDefault="00DD58C2" w:rsidP="009149D7">
      <w:pPr>
        <w:pStyle w:val="ListNumber"/>
        <w:rPr>
          <w:lang w:val="en-US"/>
        </w:rPr>
      </w:pPr>
      <w:r w:rsidRPr="00DD58C2">
        <w:rPr>
          <w:lang w:val="en-US"/>
        </w:rPr>
        <w:t xml:space="preserve">Notwithstanding, it is important to note </w:t>
      </w:r>
      <w:r w:rsidR="00C215B9" w:rsidRPr="00DD58C2">
        <w:rPr>
          <w:lang w:val="en-US"/>
        </w:rPr>
        <w:t xml:space="preserve">this does not take account of any backlog of need and future needs arising. </w:t>
      </w:r>
    </w:p>
    <w:p w:rsidR="00C215B9" w:rsidRPr="002C0C27" w:rsidRDefault="00C215B9" w:rsidP="009149D7">
      <w:pPr>
        <w:pStyle w:val="ListNumber"/>
        <w:rPr>
          <w:lang w:val="en-US"/>
        </w:rPr>
      </w:pPr>
      <w:r w:rsidRPr="002C0C27">
        <w:rPr>
          <w:lang w:val="en-US"/>
        </w:rPr>
        <w:t xml:space="preserve">Given the strategic nature of Policy </w:t>
      </w:r>
      <w:r w:rsidR="00DD58C2" w:rsidRPr="002C0C27">
        <w:rPr>
          <w:lang w:val="en-US"/>
        </w:rPr>
        <w:t>34</w:t>
      </w:r>
      <w:r w:rsidRPr="002C0C27">
        <w:rPr>
          <w:lang w:val="en-US"/>
        </w:rPr>
        <w:t xml:space="preserve">, it will be challenging, within the neighbourhood plan, for the NDP to develop a policy that departs from it. On the basis of the evidence gathered, therefore, we do not see sufficient justification for the </w:t>
      </w:r>
      <w:r w:rsidR="00DD58C2" w:rsidRPr="002C0C27">
        <w:rPr>
          <w:lang w:val="en-US"/>
        </w:rPr>
        <w:t xml:space="preserve">West </w:t>
      </w:r>
      <w:proofErr w:type="spellStart"/>
      <w:r w:rsidR="00DD58C2" w:rsidRPr="002C0C27">
        <w:rPr>
          <w:lang w:val="en-US"/>
        </w:rPr>
        <w:t>Wittering</w:t>
      </w:r>
      <w:proofErr w:type="spellEnd"/>
      <w:r w:rsidRPr="002C0C27">
        <w:rPr>
          <w:lang w:val="en-US"/>
        </w:rPr>
        <w:t xml:space="preserve"> </w:t>
      </w:r>
      <w:proofErr w:type="spellStart"/>
      <w:r w:rsidRPr="002C0C27">
        <w:rPr>
          <w:lang w:val="en-US"/>
        </w:rPr>
        <w:t>Neighbourhood</w:t>
      </w:r>
      <w:proofErr w:type="spellEnd"/>
      <w:r w:rsidRPr="002C0C27">
        <w:rPr>
          <w:lang w:val="en-US"/>
        </w:rPr>
        <w:t xml:space="preserve"> Plan to set its own affordable housing target. </w:t>
      </w:r>
    </w:p>
    <w:p w:rsidR="00C215B9" w:rsidRPr="002C0C27" w:rsidRDefault="00C215B9" w:rsidP="009149D7">
      <w:pPr>
        <w:pStyle w:val="ListNumber"/>
        <w:rPr>
          <w:lang w:val="en-US"/>
        </w:rPr>
      </w:pPr>
      <w:r w:rsidRPr="002C0C27">
        <w:rPr>
          <w:lang w:val="en-US"/>
        </w:rPr>
        <w:lastRenderedPageBreak/>
        <w:t xml:space="preserve">Nevertheless, if </w:t>
      </w:r>
      <w:r w:rsidR="00DD58C2" w:rsidRPr="002C0C27">
        <w:rPr>
          <w:lang w:val="en-US"/>
        </w:rPr>
        <w:t>WW</w:t>
      </w:r>
      <w:r w:rsidRPr="002C0C27">
        <w:rPr>
          <w:lang w:val="en-US"/>
        </w:rPr>
        <w:t>PC is to have confidence it’s AH needs ar</w:t>
      </w:r>
      <w:r w:rsidR="00DD58C2" w:rsidRPr="002C0C27">
        <w:rPr>
          <w:lang w:val="en-US"/>
        </w:rPr>
        <w:t xml:space="preserve">e to be achieved in future years </w:t>
      </w:r>
      <w:r w:rsidRPr="002C0C27">
        <w:rPr>
          <w:lang w:val="en-US"/>
        </w:rPr>
        <w:t xml:space="preserve">an assertive position as regards AH should be adopted, together with additional evidence to show need within the NPA, for example a </w:t>
      </w:r>
      <w:r w:rsidR="005F5CF8">
        <w:rPr>
          <w:lang w:val="en-US"/>
        </w:rPr>
        <w:t>Parish</w:t>
      </w:r>
      <w:r w:rsidRPr="002C0C27">
        <w:rPr>
          <w:lang w:val="en-US"/>
        </w:rPr>
        <w:t xml:space="preserve">-level housing register waiting list (PHRWL). Such a register, if regularly maintained, would provide an up-to-date tool for attracting additional AH supported by robust evidence of local need, and justify the AH exception sites, if appropriate. </w:t>
      </w:r>
    </w:p>
    <w:p w:rsidR="00C215B9" w:rsidRPr="002C0C27" w:rsidRDefault="00C215B9" w:rsidP="009149D7">
      <w:pPr>
        <w:pStyle w:val="ListNumber"/>
        <w:rPr>
          <w:lang w:val="en-US"/>
        </w:rPr>
      </w:pPr>
      <w:r w:rsidRPr="002C0C27">
        <w:rPr>
          <w:lang w:val="en-US"/>
        </w:rPr>
        <w:t>In addition, a PHRWL could be used as a lobbying tool to resist cases where developers are seeking a low AH allocation on a given site or to re-negotiate S106 commitments to provide affordable housing part way through the delivery of a scheme.</w:t>
      </w:r>
    </w:p>
    <w:p w:rsidR="00142305" w:rsidRPr="0073415E" w:rsidRDefault="00142305" w:rsidP="009149D7">
      <w:pPr>
        <w:pStyle w:val="Heading2"/>
        <w:rPr>
          <w:lang w:val="en-US"/>
        </w:rPr>
      </w:pPr>
      <w:bookmarkStart w:id="104" w:name="_Toc504464743"/>
      <w:r w:rsidRPr="0073415E">
        <w:rPr>
          <w:lang w:val="en-US"/>
        </w:rPr>
        <w:t>Conclusions</w:t>
      </w:r>
      <w:bookmarkEnd w:id="104"/>
      <w:r w:rsidRPr="0073415E">
        <w:rPr>
          <w:lang w:val="en-US"/>
        </w:rPr>
        <w:t xml:space="preserve"> </w:t>
      </w:r>
    </w:p>
    <w:p w:rsidR="00142305" w:rsidRPr="0073415E" w:rsidRDefault="00D71466" w:rsidP="009149D7">
      <w:pPr>
        <w:pStyle w:val="ListNumber"/>
        <w:rPr>
          <w:lang w:val="en-US"/>
        </w:rPr>
      </w:pPr>
      <w:r w:rsidRPr="0073415E">
        <w:rPr>
          <w:lang w:val="en-US"/>
        </w:rPr>
        <w:t xml:space="preserve">Bringing together our findings relating to affordability, </w:t>
      </w:r>
      <w:r w:rsidR="00142305" w:rsidRPr="0073415E">
        <w:rPr>
          <w:lang w:val="en-US"/>
        </w:rPr>
        <w:t xml:space="preserve">the evidence we have gathered suggests roughly half of all households are able to access an entry level dwelling within the NPA; this increases to 70% when private rented sector dwellings are taken into consideration. </w:t>
      </w:r>
    </w:p>
    <w:p w:rsidR="00F02BD3" w:rsidRDefault="00142305" w:rsidP="009149D7">
      <w:pPr>
        <w:pStyle w:val="ListNumber"/>
        <w:rPr>
          <w:lang w:val="en-US"/>
        </w:rPr>
      </w:pPr>
      <w:r w:rsidRPr="0073415E">
        <w:rPr>
          <w:lang w:val="en-US"/>
        </w:rPr>
        <w:t xml:space="preserve">There is a stark contrast between the median affordability ratio (MAR) of 3.9 within </w:t>
      </w:r>
      <w:proofErr w:type="spellStart"/>
      <w:r w:rsidRPr="0073415E">
        <w:rPr>
          <w:lang w:val="en-US"/>
        </w:rPr>
        <w:t>Chichester</w:t>
      </w:r>
      <w:proofErr w:type="spellEnd"/>
      <w:r w:rsidRPr="0073415E">
        <w:rPr>
          <w:lang w:val="en-US"/>
        </w:rPr>
        <w:t xml:space="preserve"> South and the lower quartile affordability ratio (LQAR) for </w:t>
      </w:r>
      <w:proofErr w:type="spellStart"/>
      <w:r w:rsidRPr="0073415E">
        <w:rPr>
          <w:lang w:val="en-US"/>
        </w:rPr>
        <w:t>Chichester</w:t>
      </w:r>
      <w:proofErr w:type="spellEnd"/>
      <w:r w:rsidRPr="0073415E">
        <w:rPr>
          <w:lang w:val="en-US"/>
        </w:rPr>
        <w:t>, reported to be 10.41. Notwithstan</w:t>
      </w:r>
      <w:r w:rsidR="002C0C27">
        <w:rPr>
          <w:lang w:val="en-US"/>
        </w:rPr>
        <w:t>d</w:t>
      </w:r>
      <w:r w:rsidRPr="0073415E">
        <w:rPr>
          <w:lang w:val="en-US"/>
        </w:rPr>
        <w:t xml:space="preserve">ing the difference in geography, this suggests an acute affordability crisis at the </w:t>
      </w:r>
      <w:r w:rsidR="005F5CF8">
        <w:rPr>
          <w:lang w:val="en-US"/>
        </w:rPr>
        <w:t>District</w:t>
      </w:r>
      <w:r w:rsidRPr="0073415E">
        <w:rPr>
          <w:lang w:val="en-US"/>
        </w:rPr>
        <w:t xml:space="preserve"> level for those on lower incomes. It is reasonable to assume a similar position exists within the NPA given that, according to Land Registry price paid data house prices increased in West </w:t>
      </w:r>
      <w:proofErr w:type="spellStart"/>
      <w:r w:rsidRPr="0073415E">
        <w:rPr>
          <w:lang w:val="en-US"/>
        </w:rPr>
        <w:t>Wittering</w:t>
      </w:r>
      <w:proofErr w:type="spellEnd"/>
      <w:r w:rsidRPr="0073415E">
        <w:rPr>
          <w:lang w:val="en-US"/>
        </w:rPr>
        <w:t xml:space="preserve"> by 18% between 2007 and 2016 and, on average, </w:t>
      </w:r>
      <w:r w:rsidR="00F02BD3" w:rsidRPr="0073415E">
        <w:rPr>
          <w:lang w:val="en-US"/>
        </w:rPr>
        <w:t xml:space="preserve">dwellings in the settlement were 35% higher than for </w:t>
      </w:r>
      <w:proofErr w:type="spellStart"/>
      <w:r w:rsidR="00F02BD3" w:rsidRPr="0073415E">
        <w:rPr>
          <w:lang w:val="en-US"/>
        </w:rPr>
        <w:t>Chichester</w:t>
      </w:r>
      <w:proofErr w:type="spellEnd"/>
      <w:r w:rsidR="00F02BD3" w:rsidRPr="0073415E">
        <w:rPr>
          <w:lang w:val="en-US"/>
        </w:rPr>
        <w:t xml:space="preserve"> as a whole.</w:t>
      </w:r>
    </w:p>
    <w:p w:rsidR="002C0C27" w:rsidRDefault="002C0C27" w:rsidP="009149D7">
      <w:pPr>
        <w:pStyle w:val="ListNumber"/>
        <w:rPr>
          <w:lang w:val="en-US"/>
        </w:rPr>
      </w:pPr>
      <w:r>
        <w:rPr>
          <w:lang w:val="en-US"/>
        </w:rPr>
        <w:t xml:space="preserve">Based on evidence of need drawn from </w:t>
      </w:r>
      <w:proofErr w:type="spellStart"/>
      <w:r>
        <w:rPr>
          <w:lang w:val="en-US"/>
        </w:rPr>
        <w:t>Chichester’s</w:t>
      </w:r>
      <w:proofErr w:type="spellEnd"/>
      <w:r>
        <w:rPr>
          <w:lang w:val="en-US"/>
        </w:rPr>
        <w:t xml:space="preserve"> housing waiting list register (that shows 9 households expressing an interest in occupying housing in West </w:t>
      </w:r>
      <w:proofErr w:type="spellStart"/>
      <w:r>
        <w:rPr>
          <w:lang w:val="en-US"/>
        </w:rPr>
        <w:t>Wittering</w:t>
      </w:r>
      <w:proofErr w:type="spellEnd"/>
      <w:r>
        <w:rPr>
          <w:lang w:val="en-US"/>
        </w:rPr>
        <w:t xml:space="preserve">, there is no basis on which to seek a different proportion of affordable housing from development than Policy 34 of CLP. </w:t>
      </w:r>
    </w:p>
    <w:p w:rsidR="002C0C27" w:rsidRDefault="002C0C27" w:rsidP="009149D7">
      <w:pPr>
        <w:pStyle w:val="ListNumber"/>
        <w:rPr>
          <w:lang w:val="en-US"/>
        </w:rPr>
      </w:pPr>
      <w:r>
        <w:rPr>
          <w:lang w:val="en-US"/>
        </w:rPr>
        <w:t>However, given the conclusions in this study relating to affordability of housing on low incomes, WWPC should adopt an assertive attitude as regards the delivery of affordable housing</w:t>
      </w:r>
      <w:r w:rsidR="000D2F64">
        <w:rPr>
          <w:lang w:val="en-US"/>
        </w:rPr>
        <w:t xml:space="preserve"> in practice</w:t>
      </w:r>
      <w:r>
        <w:rPr>
          <w:lang w:val="en-US"/>
        </w:rPr>
        <w:t xml:space="preserve">. </w:t>
      </w:r>
    </w:p>
    <w:p w:rsidR="0028000E" w:rsidRPr="004264F1" w:rsidRDefault="0028000E" w:rsidP="004264F1">
      <w:pPr>
        <w:pStyle w:val="Heading3"/>
      </w:pPr>
      <w:bookmarkStart w:id="105" w:name="_Toc488669502"/>
      <w:r w:rsidRPr="004264F1">
        <w:t xml:space="preserve">Market </w:t>
      </w:r>
      <w:r w:rsidR="000D2F64">
        <w:t>s</w:t>
      </w:r>
      <w:r w:rsidRPr="004264F1">
        <w:t>egmentation</w:t>
      </w:r>
      <w:bookmarkEnd w:id="105"/>
    </w:p>
    <w:p w:rsidR="0028000E" w:rsidRPr="00D343F2" w:rsidRDefault="0028000E" w:rsidP="00A258B5">
      <w:pPr>
        <w:pStyle w:val="ListNumber"/>
      </w:pPr>
      <w:bookmarkStart w:id="106" w:name="_Toc487535543"/>
      <w:r w:rsidRPr="00D343F2">
        <w:t xml:space="preserve">Bringing together the evidence from our consideration of </w:t>
      </w:r>
      <w:r w:rsidRPr="00047FDB">
        <w:rPr>
          <w:u w:val="single"/>
        </w:rPr>
        <w:t>affordability</w:t>
      </w:r>
      <w:r w:rsidRPr="00D343F2">
        <w:t xml:space="preserve">, </w:t>
      </w:r>
      <w:r w:rsidRPr="00047FDB">
        <w:rPr>
          <w:u w:val="single"/>
        </w:rPr>
        <w:t>age structure</w:t>
      </w:r>
      <w:r w:rsidRPr="00D343F2">
        <w:t xml:space="preserve"> and </w:t>
      </w:r>
      <w:r w:rsidRPr="00047FDB">
        <w:rPr>
          <w:u w:val="single"/>
        </w:rPr>
        <w:t>household composition</w:t>
      </w:r>
      <w:r w:rsidRPr="00D343F2">
        <w:t xml:space="preserve">, in line with PPG, we have sought to identify the different market segments in the population of </w:t>
      </w:r>
      <w:r w:rsidR="0086608E">
        <w:t>West Wittering</w:t>
      </w:r>
      <w:r w:rsidRPr="00D343F2">
        <w:t xml:space="preserve">. We then use this understanding to put forward recommendations for policy relating to Affordable Housing as well as and size and tenure of dwelling. </w:t>
      </w:r>
    </w:p>
    <w:p w:rsidR="0028000E" w:rsidRDefault="0028000E" w:rsidP="00A258B5">
      <w:pPr>
        <w:pStyle w:val="ListNumber"/>
        <w:rPr>
          <w:rFonts w:ascii="Arial" w:hAnsi="Arial" w:cs="Arial"/>
        </w:rPr>
      </w:pPr>
      <w:r w:rsidRPr="00D343F2">
        <w:rPr>
          <w:rFonts w:ascii="Arial" w:hAnsi="Arial" w:cs="Arial"/>
        </w:rPr>
        <w:t>In order to understand the terminology surrounding size of dwellings, it is important to note the number of rooms recorded in Census excludes kitchen, bathrooms and toilets. In the market segments table that follows, ‘dwelling size’ should be translated as follows</w:t>
      </w:r>
      <w:bookmarkEnd w:id="106"/>
      <w:r>
        <w:rPr>
          <w:rFonts w:ascii="Arial" w:hAnsi="Arial" w:cs="Arial"/>
        </w:rPr>
        <w:t>:</w:t>
      </w:r>
    </w:p>
    <w:p w:rsidR="0028000E" w:rsidRPr="00091930" w:rsidRDefault="0028000E" w:rsidP="00B25544">
      <w:pPr>
        <w:pStyle w:val="ListNumber"/>
        <w:numPr>
          <w:ilvl w:val="0"/>
          <w:numId w:val="31"/>
        </w:numPr>
        <w:spacing w:line="240" w:lineRule="auto"/>
      </w:pPr>
      <w:r w:rsidRPr="00091930">
        <w:t xml:space="preserve">1 room = </w:t>
      </w:r>
      <w:r w:rsidR="000D2F64">
        <w:t>b</w:t>
      </w:r>
      <w:r w:rsidRPr="00091930">
        <w:t>edsit</w:t>
      </w:r>
    </w:p>
    <w:p w:rsidR="0028000E" w:rsidRPr="00091930" w:rsidRDefault="0028000E" w:rsidP="00B25544">
      <w:pPr>
        <w:pStyle w:val="ListNumber"/>
        <w:numPr>
          <w:ilvl w:val="0"/>
          <w:numId w:val="31"/>
        </w:numPr>
        <w:spacing w:line="240" w:lineRule="auto"/>
      </w:pPr>
      <w:r w:rsidRPr="00091930">
        <w:t>2 rooms = flat/house with one bedroom</w:t>
      </w:r>
    </w:p>
    <w:p w:rsidR="0028000E" w:rsidRPr="00091930" w:rsidRDefault="0028000E" w:rsidP="00B25544">
      <w:pPr>
        <w:pStyle w:val="ListNumber"/>
        <w:numPr>
          <w:ilvl w:val="0"/>
          <w:numId w:val="31"/>
        </w:numPr>
        <w:spacing w:line="240" w:lineRule="auto"/>
      </w:pPr>
      <w:r w:rsidRPr="00091930">
        <w:t>3 rooms = flat/house 2 bedrooms</w:t>
      </w:r>
    </w:p>
    <w:p w:rsidR="0028000E" w:rsidRPr="00091930" w:rsidRDefault="0028000E" w:rsidP="00B25544">
      <w:pPr>
        <w:pStyle w:val="ListNumber"/>
        <w:numPr>
          <w:ilvl w:val="0"/>
          <w:numId w:val="31"/>
        </w:numPr>
        <w:spacing w:line="240" w:lineRule="auto"/>
      </w:pPr>
      <w:r w:rsidRPr="00091930">
        <w:t>4 rooms = flat/house with 2 bedroom</w:t>
      </w:r>
      <w:r w:rsidR="000D2F64">
        <w:t>s</w:t>
      </w:r>
      <w:r w:rsidRPr="00091930">
        <w:t xml:space="preserve"> and 2 reception rooms, or 3 bedrooms and 1reception room</w:t>
      </w:r>
    </w:p>
    <w:p w:rsidR="0028000E" w:rsidRPr="00091930" w:rsidRDefault="0028000E" w:rsidP="00B25544">
      <w:pPr>
        <w:pStyle w:val="ListNumber"/>
        <w:numPr>
          <w:ilvl w:val="0"/>
          <w:numId w:val="31"/>
        </w:numPr>
        <w:spacing w:line="240" w:lineRule="auto"/>
      </w:pPr>
      <w:r w:rsidRPr="00091930">
        <w:t>5 rooms = flat/house with 3 bedrooms and 2 reception rooms</w:t>
      </w:r>
    </w:p>
    <w:p w:rsidR="0028000E" w:rsidRPr="00091930" w:rsidRDefault="0028000E" w:rsidP="00B25544">
      <w:pPr>
        <w:pStyle w:val="ListNumber"/>
        <w:numPr>
          <w:ilvl w:val="0"/>
          <w:numId w:val="31"/>
        </w:numPr>
        <w:spacing w:line="240" w:lineRule="auto"/>
      </w:pPr>
      <w:r w:rsidRPr="00091930">
        <w:t>6 rooms = house with 3 bedrooms and 3 reception rooms or 4 bedrooms and 2</w:t>
      </w:r>
      <w:r w:rsidR="00B25544">
        <w:t xml:space="preserve"> </w:t>
      </w:r>
      <w:r w:rsidRPr="00091930">
        <w:t>reception rooms</w:t>
      </w:r>
    </w:p>
    <w:p w:rsidR="0028000E" w:rsidRPr="00091930" w:rsidRDefault="0028000E" w:rsidP="00B25544">
      <w:pPr>
        <w:pStyle w:val="ListNumber"/>
        <w:numPr>
          <w:ilvl w:val="0"/>
          <w:numId w:val="31"/>
        </w:numPr>
        <w:spacing w:line="240" w:lineRule="auto"/>
      </w:pPr>
      <w:r w:rsidRPr="00091930">
        <w:t>7+ rooms = house with 4, 5 or more bedrooms house</w:t>
      </w:r>
    </w:p>
    <w:p w:rsidR="00047FDB" w:rsidRPr="00047FDB" w:rsidRDefault="00047FDB" w:rsidP="00A258B5">
      <w:pPr>
        <w:pStyle w:val="ListNumber"/>
      </w:pPr>
      <w:r w:rsidRPr="00047FDB">
        <w:t xml:space="preserve">The table </w:t>
      </w:r>
      <w:r w:rsidR="00B25544">
        <w:t>on the page below</w:t>
      </w:r>
      <w:r w:rsidRPr="00047FDB">
        <w:t xml:space="preserve"> indicates the different market segments, and the degree to which they are a growing, stable or declining group within the local population. One ‘up’ arrow indicates this grouping is growing modestly in the NPA; two ‘up’ arrows indicates strong growth, three ‘up’ arrows suggests very rapid growth in years to come. Where segments are falling in numbers, or not growing, neutral or down arrows are shown. </w:t>
      </w:r>
    </w:p>
    <w:p w:rsidR="00047FDB" w:rsidRPr="00047FDB" w:rsidRDefault="00F56C86" w:rsidP="00A258B5">
      <w:pPr>
        <w:pStyle w:val="ListNumber"/>
        <w:rPr>
          <w:rFonts w:ascii="Arial" w:hAnsi="Arial" w:cs="Arial"/>
        </w:rPr>
      </w:pPr>
      <w:r w:rsidRPr="00047FDB">
        <w:rPr>
          <w:rFonts w:ascii="Arial" w:hAnsi="Arial" w:cs="Arial"/>
        </w:rPr>
        <w:t xml:space="preserve">It is important to note that, </w:t>
      </w:r>
      <w:r>
        <w:rPr>
          <w:rFonts w:ascii="Arial" w:hAnsi="Arial" w:cs="Arial"/>
        </w:rPr>
        <w:t>the private sector is good at picking up market trends that result from, among other factors, changes in social behaviours and demographic shifts</w:t>
      </w:r>
      <w:r w:rsidRPr="00047FDB">
        <w:rPr>
          <w:rFonts w:ascii="Arial" w:hAnsi="Arial" w:cs="Arial"/>
        </w:rPr>
        <w:t xml:space="preserve">. </w:t>
      </w:r>
      <w:r w:rsidR="00047FDB" w:rsidRPr="00047FDB">
        <w:rPr>
          <w:rFonts w:ascii="Arial" w:hAnsi="Arial" w:cs="Arial"/>
        </w:rPr>
        <w:t xml:space="preserve">For this reason, policy intervention is only justified in the case of market failure (where the market is unable, for reasons of viability, or there are incentives, deliberate or otherwise, that drive the market not to respond to trends). Examples include the </w:t>
      </w:r>
      <w:r w:rsidR="0086608E">
        <w:rPr>
          <w:rFonts w:ascii="Arial" w:hAnsi="Arial" w:cs="Arial"/>
        </w:rPr>
        <w:t>provision of</w:t>
      </w:r>
      <w:r w:rsidR="00047FDB" w:rsidRPr="00047FDB">
        <w:rPr>
          <w:rFonts w:ascii="Arial" w:hAnsi="Arial" w:cs="Arial"/>
        </w:rPr>
        <w:t xml:space="preserve"> homes to those on low incomes and the under-supply of dwellings for the elderly. </w:t>
      </w:r>
    </w:p>
    <w:p w:rsidR="00047FDB" w:rsidRPr="00047FDB" w:rsidRDefault="00F56C86" w:rsidP="00A258B5">
      <w:pPr>
        <w:pStyle w:val="ListNumber"/>
        <w:rPr>
          <w:rFonts w:ascii="Arial" w:hAnsi="Arial" w:cs="Arial"/>
        </w:rPr>
      </w:pPr>
      <w:r w:rsidRPr="00047FDB">
        <w:rPr>
          <w:rFonts w:ascii="Arial" w:hAnsi="Arial" w:cs="Arial"/>
        </w:rPr>
        <w:lastRenderedPageBreak/>
        <w:t>S</w:t>
      </w:r>
      <w:r>
        <w:rPr>
          <w:rFonts w:ascii="Arial" w:hAnsi="Arial" w:cs="Arial"/>
        </w:rPr>
        <w:t xml:space="preserve">imilarly, because, generally speaking, the market is able to </w:t>
      </w:r>
      <w:r w:rsidRPr="00047FDB">
        <w:rPr>
          <w:rFonts w:ascii="Arial" w:hAnsi="Arial" w:cs="Arial"/>
        </w:rPr>
        <w:t xml:space="preserve">deliver the homes required for the majority of residents </w:t>
      </w:r>
      <w:r w:rsidR="00047FDB" w:rsidRPr="00047FDB">
        <w:rPr>
          <w:rFonts w:ascii="Arial" w:hAnsi="Arial" w:cs="Arial"/>
        </w:rPr>
        <w:t xml:space="preserve">(either through for-sale dwellings or for-rent), policy intervention is only required where the evidence is both compelling and the circumstances it describes serious. This is because policies carry both costs and risks; this can distort the market, preventing it from providing homes (and encouraging a position of market equilibrium in which homes are accessible to target markets). </w:t>
      </w:r>
    </w:p>
    <w:p w:rsidR="0086608E" w:rsidRPr="00A258B5" w:rsidRDefault="0086608E" w:rsidP="00A258B5">
      <w:pPr>
        <w:pStyle w:val="ListNumber"/>
        <w:rPr>
          <w:color w:val="000000" w:themeColor="text1"/>
          <w:lang w:val="en-US"/>
        </w:rPr>
      </w:pPr>
      <w:r w:rsidRPr="0086608E">
        <w:rPr>
          <w:color w:val="000000" w:themeColor="text1"/>
          <w:lang w:val="en-US"/>
        </w:rPr>
        <w:t xml:space="preserve">In the case of West </w:t>
      </w:r>
      <w:proofErr w:type="spellStart"/>
      <w:r w:rsidRPr="0086608E">
        <w:rPr>
          <w:color w:val="000000" w:themeColor="text1"/>
          <w:lang w:val="en-US"/>
        </w:rPr>
        <w:t>Wittering</w:t>
      </w:r>
      <w:proofErr w:type="spellEnd"/>
      <w:r w:rsidRPr="0086608E">
        <w:rPr>
          <w:color w:val="000000" w:themeColor="text1"/>
          <w:lang w:val="en-US"/>
        </w:rPr>
        <w:t xml:space="preserve">, these conditions are captured </w:t>
      </w:r>
      <w:r>
        <w:rPr>
          <w:color w:val="000000" w:themeColor="text1"/>
          <w:lang w:val="en-US"/>
        </w:rPr>
        <w:t>in the substantial forecast increase in the numbers of those aged 65 and over; this calls for a policy response to address the specif</w:t>
      </w:r>
      <w:r w:rsidR="00C543C6">
        <w:rPr>
          <w:color w:val="000000" w:themeColor="text1"/>
          <w:lang w:val="en-US"/>
        </w:rPr>
        <w:t xml:space="preserve">ic needs of this market segment; this is discussed in more detail later in this HNA. </w:t>
      </w:r>
      <w:r>
        <w:rPr>
          <w:color w:val="000000" w:themeColor="text1"/>
          <w:lang w:val="en-US"/>
        </w:rPr>
        <w:t xml:space="preserve"> </w:t>
      </w:r>
    </w:p>
    <w:p w:rsidR="00047FDB" w:rsidRPr="00B25544" w:rsidRDefault="0086608E" w:rsidP="00B25544">
      <w:pPr>
        <w:pStyle w:val="ListNumber"/>
        <w:rPr>
          <w:color w:val="000000" w:themeColor="text1"/>
          <w:lang w:val="en-US"/>
        </w:rPr>
      </w:pPr>
      <w:r>
        <w:rPr>
          <w:color w:val="000000" w:themeColor="text1"/>
          <w:lang w:val="en-US"/>
        </w:rPr>
        <w:t xml:space="preserve">A further trend that threatens to undermine the vitality and viability of the settlement is the fall in the number of younger families in the NPA over the Plan period, particularly those with dependent children. </w:t>
      </w:r>
      <w:r w:rsidR="002570E9">
        <w:rPr>
          <w:color w:val="000000" w:themeColor="text1"/>
          <w:lang w:val="en-US"/>
        </w:rPr>
        <w:t xml:space="preserve">Clearly, if this trend continues, it </w:t>
      </w:r>
      <w:r w:rsidR="00C543C6">
        <w:rPr>
          <w:color w:val="000000" w:themeColor="text1"/>
          <w:lang w:val="en-US"/>
        </w:rPr>
        <w:t xml:space="preserve">is likely to reduce demand for </w:t>
      </w:r>
      <w:r w:rsidR="002570E9">
        <w:rPr>
          <w:color w:val="000000" w:themeColor="text1"/>
          <w:lang w:val="en-US"/>
        </w:rPr>
        <w:t>infrastructure</w:t>
      </w:r>
      <w:r w:rsidR="00C543C6">
        <w:rPr>
          <w:color w:val="000000" w:themeColor="text1"/>
          <w:lang w:val="en-US"/>
        </w:rPr>
        <w:t xml:space="preserve"> targeted at families</w:t>
      </w:r>
      <w:r w:rsidR="002570E9">
        <w:rPr>
          <w:color w:val="000000" w:themeColor="text1"/>
          <w:lang w:val="en-US"/>
        </w:rPr>
        <w:t xml:space="preserve">, for example primary schools and </w:t>
      </w:r>
      <w:proofErr w:type="gramStart"/>
      <w:r w:rsidR="00C543C6">
        <w:rPr>
          <w:color w:val="000000" w:themeColor="text1"/>
          <w:lang w:val="en-US"/>
        </w:rPr>
        <w:t>play</w:t>
      </w:r>
      <w:proofErr w:type="gramEnd"/>
      <w:r w:rsidR="00C543C6">
        <w:rPr>
          <w:color w:val="000000" w:themeColor="text1"/>
          <w:lang w:val="en-US"/>
        </w:rPr>
        <w:t xml:space="preserve"> </w:t>
      </w:r>
      <w:r w:rsidR="002570E9">
        <w:rPr>
          <w:color w:val="000000" w:themeColor="text1"/>
          <w:lang w:val="en-US"/>
        </w:rPr>
        <w:t>services</w:t>
      </w:r>
      <w:r w:rsidR="00C543C6">
        <w:rPr>
          <w:color w:val="000000" w:themeColor="text1"/>
          <w:lang w:val="en-US"/>
        </w:rPr>
        <w:t xml:space="preserve"> and may undermine the vitality and viability of neighbourhood. </w:t>
      </w:r>
    </w:p>
    <w:p w:rsidR="00A258B5" w:rsidRDefault="00A258B5" w:rsidP="00A258B5">
      <w:pPr>
        <w:pStyle w:val="Caption"/>
      </w:pPr>
      <w:r>
        <w:t xml:space="preserve">Table </w:t>
      </w:r>
      <w:fldSimple w:instr=" SEQ Table \* ARABIC ">
        <w:r w:rsidR="00B25544">
          <w:rPr>
            <w:noProof/>
          </w:rPr>
          <w:t>12</w:t>
        </w:r>
      </w:fldSimple>
      <w:r>
        <w:t xml:space="preserve">: Market </w:t>
      </w:r>
      <w:r w:rsidR="004D6078">
        <w:t>s</w:t>
      </w:r>
      <w:r>
        <w:t xml:space="preserve">egments </w:t>
      </w:r>
      <w:r w:rsidR="004D6078">
        <w:t>a</w:t>
      </w:r>
      <w:r>
        <w:t>nalysis</w:t>
      </w:r>
    </w:p>
    <w:tbl>
      <w:tblPr>
        <w:tblW w:w="9080" w:type="dxa"/>
        <w:tblInd w:w="93" w:type="dxa"/>
        <w:tblLook w:val="04A0" w:firstRow="1" w:lastRow="0" w:firstColumn="1" w:lastColumn="0" w:noHBand="0" w:noVBand="1"/>
      </w:tblPr>
      <w:tblGrid>
        <w:gridCol w:w="2593"/>
        <w:gridCol w:w="1394"/>
        <w:gridCol w:w="1831"/>
        <w:gridCol w:w="1953"/>
        <w:gridCol w:w="1309"/>
      </w:tblGrid>
      <w:tr w:rsidR="007B4DC1" w:rsidRPr="00091930" w:rsidTr="00A258B5">
        <w:trPr>
          <w:trHeight w:val="615"/>
        </w:trPr>
        <w:tc>
          <w:tcPr>
            <w:tcW w:w="2593"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7B4DC1" w:rsidRPr="00091930" w:rsidRDefault="007B4DC1" w:rsidP="00BF22EF">
            <w:pPr>
              <w:tabs>
                <w:tab w:val="clear" w:pos="284"/>
              </w:tabs>
              <w:spacing w:line="240" w:lineRule="auto"/>
              <w:jc w:val="center"/>
              <w:rPr>
                <w:rFonts w:ascii="Arial" w:eastAsia="Times New Roman" w:hAnsi="Arial" w:cs="Arial"/>
                <w:b/>
                <w:bCs/>
                <w:color w:val="FFFFFF"/>
                <w:kern w:val="0"/>
                <w:lang w:eastAsia="en-GB"/>
              </w:rPr>
            </w:pPr>
            <w:r w:rsidRPr="00091930">
              <w:rPr>
                <w:rFonts w:ascii="Arial" w:eastAsia="Times New Roman" w:hAnsi="Arial" w:cs="Arial"/>
                <w:b/>
                <w:bCs/>
                <w:color w:val="FFFFFF"/>
                <w:kern w:val="0"/>
                <w:lang w:eastAsia="en-GB"/>
              </w:rPr>
              <w:t xml:space="preserve">Market segments </w:t>
            </w:r>
          </w:p>
        </w:tc>
        <w:tc>
          <w:tcPr>
            <w:tcW w:w="1394" w:type="dxa"/>
            <w:tcBorders>
              <w:top w:val="single" w:sz="8" w:space="0" w:color="auto"/>
              <w:left w:val="nil"/>
              <w:bottom w:val="single" w:sz="8" w:space="0" w:color="auto"/>
              <w:right w:val="single" w:sz="8" w:space="0" w:color="auto"/>
            </w:tcBorders>
            <w:shd w:val="clear" w:color="000000" w:fill="000000"/>
            <w:vAlign w:val="center"/>
            <w:hideMark/>
          </w:tcPr>
          <w:p w:rsidR="007B4DC1" w:rsidRPr="00091930" w:rsidRDefault="007B4DC1" w:rsidP="00BF22EF">
            <w:pPr>
              <w:tabs>
                <w:tab w:val="clear" w:pos="284"/>
              </w:tabs>
              <w:spacing w:line="240" w:lineRule="auto"/>
              <w:jc w:val="center"/>
              <w:rPr>
                <w:rFonts w:ascii="Arial" w:eastAsia="Times New Roman" w:hAnsi="Arial" w:cs="Arial"/>
                <w:b/>
                <w:bCs/>
                <w:color w:val="FFFFFF"/>
                <w:kern w:val="0"/>
                <w:lang w:eastAsia="en-GB"/>
              </w:rPr>
            </w:pPr>
            <w:r w:rsidRPr="00091930">
              <w:rPr>
                <w:rFonts w:ascii="Arial" w:eastAsia="Times New Roman" w:hAnsi="Arial" w:cs="Arial"/>
                <w:b/>
                <w:bCs/>
                <w:color w:val="FFFFFF"/>
                <w:kern w:val="0"/>
                <w:lang w:eastAsia="en-GB"/>
              </w:rPr>
              <w:t>Income range</w:t>
            </w:r>
          </w:p>
        </w:tc>
        <w:tc>
          <w:tcPr>
            <w:tcW w:w="1831" w:type="dxa"/>
            <w:tcBorders>
              <w:top w:val="single" w:sz="8" w:space="0" w:color="auto"/>
              <w:left w:val="nil"/>
              <w:bottom w:val="single" w:sz="8" w:space="0" w:color="auto"/>
              <w:right w:val="single" w:sz="8" w:space="0" w:color="auto"/>
            </w:tcBorders>
            <w:shd w:val="clear" w:color="000000" w:fill="000000"/>
            <w:vAlign w:val="center"/>
            <w:hideMark/>
          </w:tcPr>
          <w:p w:rsidR="007B4DC1" w:rsidRPr="00091930" w:rsidRDefault="007B4DC1" w:rsidP="00BF22EF">
            <w:pPr>
              <w:tabs>
                <w:tab w:val="clear" w:pos="284"/>
              </w:tabs>
              <w:spacing w:line="240" w:lineRule="auto"/>
              <w:jc w:val="center"/>
              <w:rPr>
                <w:rFonts w:ascii="Arial" w:eastAsia="Times New Roman" w:hAnsi="Arial" w:cs="Arial"/>
                <w:b/>
                <w:bCs/>
                <w:color w:val="FFFFFF"/>
                <w:kern w:val="0"/>
                <w:lang w:eastAsia="en-GB"/>
              </w:rPr>
            </w:pPr>
            <w:r w:rsidRPr="00091930">
              <w:rPr>
                <w:rFonts w:ascii="Arial" w:eastAsia="Times New Roman" w:hAnsi="Arial" w:cs="Arial"/>
                <w:b/>
                <w:bCs/>
                <w:color w:val="FFFFFF"/>
                <w:kern w:val="0"/>
                <w:lang w:eastAsia="en-GB"/>
              </w:rPr>
              <w:t>Tenure</w:t>
            </w:r>
          </w:p>
        </w:tc>
        <w:tc>
          <w:tcPr>
            <w:tcW w:w="1953" w:type="dxa"/>
            <w:tcBorders>
              <w:top w:val="single" w:sz="8" w:space="0" w:color="auto"/>
              <w:left w:val="nil"/>
              <w:bottom w:val="single" w:sz="8" w:space="0" w:color="auto"/>
              <w:right w:val="single" w:sz="8" w:space="0" w:color="auto"/>
            </w:tcBorders>
            <w:shd w:val="clear" w:color="000000" w:fill="000000"/>
            <w:vAlign w:val="center"/>
            <w:hideMark/>
          </w:tcPr>
          <w:p w:rsidR="007B4DC1" w:rsidRPr="00091930" w:rsidRDefault="007B4DC1" w:rsidP="00BF22EF">
            <w:pPr>
              <w:tabs>
                <w:tab w:val="clear" w:pos="284"/>
              </w:tabs>
              <w:spacing w:line="240" w:lineRule="auto"/>
              <w:jc w:val="center"/>
              <w:rPr>
                <w:rFonts w:ascii="Arial" w:eastAsia="Times New Roman" w:hAnsi="Arial" w:cs="Arial"/>
                <w:b/>
                <w:bCs/>
                <w:color w:val="FFFFFF"/>
                <w:kern w:val="0"/>
                <w:lang w:eastAsia="en-GB"/>
              </w:rPr>
            </w:pPr>
            <w:r w:rsidRPr="00091930">
              <w:rPr>
                <w:rFonts w:ascii="Arial" w:eastAsia="Times New Roman" w:hAnsi="Arial" w:cs="Arial"/>
                <w:b/>
                <w:bCs/>
                <w:color w:val="FFFFFF"/>
                <w:kern w:val="0"/>
                <w:lang w:eastAsia="en-GB"/>
              </w:rPr>
              <w:t>Presence in Plan Area</w:t>
            </w:r>
          </w:p>
        </w:tc>
        <w:tc>
          <w:tcPr>
            <w:tcW w:w="1309" w:type="dxa"/>
            <w:tcBorders>
              <w:top w:val="single" w:sz="8" w:space="0" w:color="auto"/>
              <w:left w:val="nil"/>
              <w:bottom w:val="single" w:sz="8" w:space="0" w:color="auto"/>
              <w:right w:val="single" w:sz="8" w:space="0" w:color="auto"/>
            </w:tcBorders>
            <w:shd w:val="clear" w:color="000000" w:fill="000000"/>
            <w:vAlign w:val="center"/>
            <w:hideMark/>
          </w:tcPr>
          <w:p w:rsidR="007B4DC1" w:rsidRPr="00091930" w:rsidRDefault="007B4DC1" w:rsidP="00BF22EF">
            <w:pPr>
              <w:tabs>
                <w:tab w:val="clear" w:pos="284"/>
              </w:tabs>
              <w:spacing w:line="240" w:lineRule="auto"/>
              <w:jc w:val="center"/>
              <w:rPr>
                <w:rFonts w:ascii="Arial" w:eastAsia="Times New Roman" w:hAnsi="Arial" w:cs="Arial"/>
                <w:b/>
                <w:bCs/>
                <w:color w:val="FFFFFF"/>
                <w:kern w:val="0"/>
                <w:lang w:eastAsia="en-GB"/>
              </w:rPr>
            </w:pPr>
            <w:r w:rsidRPr="00091930">
              <w:rPr>
                <w:rFonts w:ascii="Arial" w:eastAsia="Times New Roman" w:hAnsi="Arial" w:cs="Arial"/>
                <w:b/>
                <w:bCs/>
                <w:color w:val="FFFFFF"/>
                <w:kern w:val="0"/>
                <w:lang w:eastAsia="en-GB"/>
              </w:rPr>
              <w:t>Size of home</w:t>
            </w:r>
          </w:p>
        </w:tc>
      </w:tr>
      <w:tr w:rsidR="007B4DC1" w:rsidRPr="00091930" w:rsidTr="00A258B5">
        <w:trPr>
          <w:trHeight w:val="91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1C2FF7" w:rsidRDefault="001C2FF7" w:rsidP="00BF22EF">
            <w:pPr>
              <w:tabs>
                <w:tab w:val="clear" w:pos="284"/>
              </w:tabs>
              <w:spacing w:line="240" w:lineRule="auto"/>
              <w:rPr>
                <w:rFonts w:ascii="Arial" w:eastAsia="Times New Roman" w:hAnsi="Arial" w:cs="Arial"/>
                <w:color w:val="000000"/>
                <w:kern w:val="0"/>
                <w:lang w:eastAsia="en-GB"/>
              </w:rPr>
            </w:pPr>
          </w:p>
          <w:p w:rsidR="007B4DC1"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 xml:space="preserve">Young family where parents are aged 24-44 with </w:t>
            </w:r>
            <w:r>
              <w:rPr>
                <w:rFonts w:ascii="Arial" w:eastAsia="Times New Roman" w:hAnsi="Arial" w:cs="Arial"/>
                <w:color w:val="000000"/>
                <w:kern w:val="0"/>
                <w:lang w:eastAsia="en-GB"/>
              </w:rPr>
              <w:t xml:space="preserve">1+ children </w:t>
            </w:r>
            <w:r w:rsidRPr="00091930">
              <w:rPr>
                <w:rFonts w:ascii="Arial" w:eastAsia="Times New Roman" w:hAnsi="Arial" w:cs="Arial"/>
                <w:color w:val="000000"/>
                <w:kern w:val="0"/>
                <w:lang w:eastAsia="en-GB"/>
              </w:rPr>
              <w:t>aged 0-15</w:t>
            </w:r>
          </w:p>
          <w:p w:rsidR="001C2FF7" w:rsidRPr="00091930" w:rsidRDefault="001C2FF7" w:rsidP="00BF22EF">
            <w:pPr>
              <w:tabs>
                <w:tab w:val="clear" w:pos="284"/>
              </w:tabs>
              <w:spacing w:line="240" w:lineRule="auto"/>
              <w:rPr>
                <w:rFonts w:ascii="Arial" w:eastAsia="Times New Roman" w:hAnsi="Arial" w:cs="Arial"/>
                <w:color w:val="000000"/>
                <w:kern w:val="0"/>
                <w:lang w:eastAsia="en-GB"/>
              </w:rPr>
            </w:pP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Median</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PRS, Social housing, shared equity, AMH</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B25544" w:rsidP="00BF22EF">
            <w:pPr>
              <w:tabs>
                <w:tab w:val="clear" w:pos="284"/>
              </w:tabs>
              <w:spacing w:line="240" w:lineRule="auto"/>
              <w:jc w:val="center"/>
              <w:rPr>
                <w:rFonts w:ascii="Arial" w:eastAsia="Times New Roman" w:hAnsi="Arial" w:cs="Arial"/>
                <w:color w:val="000000"/>
                <w:kern w:val="0"/>
                <w:sz w:val="96"/>
                <w:lang w:eastAsia="en-GB"/>
              </w:rPr>
            </w:pPr>
            <w:r>
              <w:rPr>
                <w:rFonts w:ascii="Arial" w:eastAsia="Times New Roman" w:hAnsi="Arial" w:cs="Arial"/>
                <w:color w:val="000000"/>
                <w:kern w:val="0"/>
                <w:sz w:val="96"/>
                <w:lang w:eastAsia="en-GB"/>
              </w:rPr>
              <w:t>↓</w:t>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5 rooms</w:t>
            </w:r>
          </w:p>
        </w:tc>
      </w:tr>
      <w:tr w:rsidR="007B4DC1" w:rsidRPr="00091930" w:rsidTr="00A258B5">
        <w:trPr>
          <w:trHeight w:val="151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 xml:space="preserve">Professional Head of Household Young family where parents are aged 24-44 with </w:t>
            </w:r>
            <w:r>
              <w:rPr>
                <w:rFonts w:ascii="Arial" w:eastAsia="Times New Roman" w:hAnsi="Arial" w:cs="Arial"/>
                <w:color w:val="000000"/>
                <w:kern w:val="0"/>
                <w:lang w:eastAsia="en-GB"/>
              </w:rPr>
              <w:t>1+</w:t>
            </w:r>
            <w:r w:rsidRPr="00091930">
              <w:rPr>
                <w:rFonts w:ascii="Arial" w:eastAsia="Times New Roman" w:hAnsi="Arial" w:cs="Arial"/>
                <w:color w:val="000000"/>
                <w:kern w:val="0"/>
                <w:lang w:eastAsia="en-GB"/>
              </w:rPr>
              <w:t xml:space="preserve"> children aged 0-15</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Mean</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AMH, Market Housing (MH)</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B25544" w:rsidP="00BF22EF">
            <w:pPr>
              <w:tabs>
                <w:tab w:val="clear" w:pos="284"/>
              </w:tabs>
              <w:spacing w:line="240" w:lineRule="auto"/>
              <w:jc w:val="center"/>
              <w:rPr>
                <w:rFonts w:ascii="Arial" w:eastAsia="Times New Roman" w:hAnsi="Arial" w:cs="Arial"/>
                <w:color w:val="000000"/>
                <w:kern w:val="0"/>
                <w:sz w:val="96"/>
                <w:lang w:eastAsia="en-GB"/>
              </w:rPr>
            </w:pPr>
            <w:r>
              <w:rPr>
                <w:rFonts w:ascii="Arial" w:eastAsia="Times New Roman" w:hAnsi="Arial" w:cs="Arial"/>
                <w:color w:val="000000"/>
                <w:kern w:val="0"/>
                <w:sz w:val="96"/>
                <w:lang w:eastAsia="en-GB"/>
              </w:rPr>
              <w:t>↓</w:t>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5 rooms</w:t>
            </w:r>
          </w:p>
        </w:tc>
      </w:tr>
      <w:tr w:rsidR="007B4DC1" w:rsidRPr="00091930" w:rsidTr="00A258B5">
        <w:trPr>
          <w:trHeight w:val="151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Professional Head of Household family where parent are aged 44-64 with non-dependent children living at home</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&gt;Mean (equity rich)</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 xml:space="preserve">Market Housing </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B25544" w:rsidP="00BF22EF">
            <w:pPr>
              <w:tabs>
                <w:tab w:val="clear" w:pos="284"/>
              </w:tabs>
              <w:spacing w:line="240" w:lineRule="auto"/>
              <w:jc w:val="center"/>
              <w:rPr>
                <w:rFonts w:ascii="Arial" w:eastAsia="Times New Roman" w:hAnsi="Arial" w:cs="Arial"/>
                <w:color w:val="000000"/>
                <w:kern w:val="0"/>
                <w:sz w:val="96"/>
                <w:lang w:eastAsia="en-GB"/>
              </w:rPr>
            </w:pPr>
            <w:r>
              <w:rPr>
                <w:rFonts w:ascii="Arial" w:eastAsia="Times New Roman" w:hAnsi="Arial" w:cs="Arial"/>
                <w:color w:val="000000"/>
                <w:kern w:val="0"/>
                <w:sz w:val="96"/>
                <w:lang w:eastAsia="en-GB"/>
              </w:rPr>
              <w:t>↓</w:t>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6+ rooms</w:t>
            </w:r>
          </w:p>
        </w:tc>
      </w:tr>
      <w:tr w:rsidR="007B4DC1" w:rsidRPr="00091930" w:rsidTr="00A258B5">
        <w:trPr>
          <w:trHeight w:val="1230"/>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 xml:space="preserve">Lone parent </w:t>
            </w:r>
            <w:r>
              <w:rPr>
                <w:rFonts w:ascii="Arial" w:eastAsia="Times New Roman" w:hAnsi="Arial" w:cs="Arial"/>
                <w:color w:val="000000"/>
                <w:kern w:val="0"/>
                <w:lang w:eastAsia="en-GB"/>
              </w:rPr>
              <w:t>(with 1+ children)</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Lower Quartile (equity poor)</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Social Housing</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B"/>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3 rooms</w:t>
            </w:r>
          </w:p>
        </w:tc>
      </w:tr>
      <w:tr w:rsidR="007B4DC1" w:rsidRPr="00091930" w:rsidTr="00A258B5">
        <w:trPr>
          <w:trHeight w:val="121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Pr>
                <w:rFonts w:ascii="Arial" w:eastAsia="Times New Roman" w:hAnsi="Arial" w:cs="Arial"/>
                <w:color w:val="000000"/>
                <w:kern w:val="0"/>
                <w:lang w:eastAsia="en-GB"/>
              </w:rPr>
              <w:t>One person household</w:t>
            </w:r>
            <w:r w:rsidRPr="00091930">
              <w:rPr>
                <w:rFonts w:ascii="Arial" w:eastAsia="Times New Roman" w:hAnsi="Arial" w:cs="Arial"/>
                <w:color w:val="000000"/>
                <w:kern w:val="0"/>
                <w:lang w:eastAsia="en-GB"/>
              </w:rPr>
              <w:t xml:space="preserve"> aged under 65</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Median (equity poor)</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PRS, shared equity, DMH</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D"/>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2 rooms</w:t>
            </w:r>
          </w:p>
        </w:tc>
      </w:tr>
      <w:tr w:rsidR="007B4DC1" w:rsidRPr="00091930" w:rsidTr="00A258B5">
        <w:trPr>
          <w:trHeight w:val="127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Pr>
                <w:rFonts w:ascii="Arial" w:eastAsia="Times New Roman" w:hAnsi="Arial" w:cs="Arial"/>
                <w:color w:val="000000"/>
                <w:kern w:val="0"/>
                <w:lang w:eastAsia="en-GB"/>
              </w:rPr>
              <w:t>One person household</w:t>
            </w:r>
            <w:r w:rsidRPr="00091930">
              <w:rPr>
                <w:rFonts w:ascii="Arial" w:eastAsia="Times New Roman" w:hAnsi="Arial" w:cs="Arial"/>
                <w:color w:val="000000"/>
                <w:kern w:val="0"/>
                <w:lang w:eastAsia="en-GB"/>
              </w:rPr>
              <w:t xml:space="preserve"> aged </w:t>
            </w:r>
            <w:r>
              <w:rPr>
                <w:rFonts w:ascii="Arial" w:eastAsia="Times New Roman" w:hAnsi="Arial" w:cs="Arial"/>
                <w:color w:val="000000"/>
                <w:kern w:val="0"/>
                <w:lang w:eastAsia="en-GB"/>
              </w:rPr>
              <w:t xml:space="preserve">65+ </w:t>
            </w:r>
            <w:r w:rsidRPr="00091930">
              <w:rPr>
                <w:rFonts w:ascii="Arial" w:eastAsia="Times New Roman" w:hAnsi="Arial" w:cs="Arial"/>
                <w:color w:val="000000"/>
                <w:kern w:val="0"/>
                <w:lang w:eastAsia="en-GB"/>
              </w:rPr>
              <w:t>with wealth</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Median (equity rich)</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 xml:space="preserve">Market Housing </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D"/>
            </w:r>
            <w:r w:rsidRPr="0096004E">
              <w:rPr>
                <w:rFonts w:ascii="Arial" w:eastAsia="Times New Roman" w:hAnsi="Arial" w:cs="Arial"/>
                <w:color w:val="000000"/>
                <w:kern w:val="0"/>
                <w:sz w:val="96"/>
                <w:lang w:eastAsia="en-GB"/>
              </w:rPr>
              <w:sym w:font="Symbol" w:char="F0AD"/>
            </w:r>
            <w:r w:rsidRPr="0096004E">
              <w:rPr>
                <w:rFonts w:ascii="Arial" w:eastAsia="Times New Roman" w:hAnsi="Arial" w:cs="Arial"/>
                <w:color w:val="000000"/>
                <w:kern w:val="0"/>
                <w:sz w:val="96"/>
                <w:lang w:eastAsia="en-GB"/>
              </w:rPr>
              <w:sym w:font="Symbol" w:char="F0AD"/>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2-3 rooms</w:t>
            </w:r>
          </w:p>
        </w:tc>
      </w:tr>
      <w:tr w:rsidR="007B4DC1" w:rsidRPr="00091930" w:rsidTr="00A258B5">
        <w:trPr>
          <w:trHeight w:val="1290"/>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Pr>
                <w:rFonts w:ascii="Arial" w:eastAsia="Times New Roman" w:hAnsi="Arial" w:cs="Arial"/>
                <w:color w:val="000000"/>
                <w:kern w:val="0"/>
                <w:lang w:eastAsia="en-GB"/>
              </w:rPr>
              <w:t>One person household</w:t>
            </w:r>
            <w:r w:rsidRPr="00091930">
              <w:rPr>
                <w:rFonts w:ascii="Arial" w:eastAsia="Times New Roman" w:hAnsi="Arial" w:cs="Arial"/>
                <w:color w:val="000000"/>
                <w:kern w:val="0"/>
                <w:lang w:eastAsia="en-GB"/>
              </w:rPr>
              <w:t xml:space="preserve"> aged </w:t>
            </w:r>
            <w:r>
              <w:rPr>
                <w:rFonts w:ascii="Arial" w:eastAsia="Times New Roman" w:hAnsi="Arial" w:cs="Arial"/>
                <w:color w:val="000000"/>
                <w:kern w:val="0"/>
                <w:lang w:eastAsia="en-GB"/>
              </w:rPr>
              <w:t xml:space="preserve">65+ </w:t>
            </w:r>
            <w:r w:rsidRPr="00091930">
              <w:rPr>
                <w:rFonts w:ascii="Arial" w:eastAsia="Times New Roman" w:hAnsi="Arial" w:cs="Arial"/>
                <w:color w:val="000000"/>
                <w:kern w:val="0"/>
                <w:lang w:eastAsia="en-GB"/>
              </w:rPr>
              <w:t>without wealth</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Lower Quartile (equity poor)</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Social Housing</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D"/>
            </w:r>
            <w:r w:rsidRPr="0096004E">
              <w:rPr>
                <w:rFonts w:ascii="Arial" w:eastAsia="Times New Roman" w:hAnsi="Arial" w:cs="Arial"/>
                <w:color w:val="000000"/>
                <w:kern w:val="0"/>
                <w:sz w:val="96"/>
                <w:lang w:eastAsia="en-GB"/>
              </w:rPr>
              <w:sym w:font="Symbol" w:char="F0AD"/>
            </w:r>
            <w:r w:rsidRPr="0096004E">
              <w:rPr>
                <w:rFonts w:ascii="Arial" w:eastAsia="Times New Roman" w:hAnsi="Arial" w:cs="Arial"/>
                <w:color w:val="000000"/>
                <w:kern w:val="0"/>
                <w:sz w:val="96"/>
                <w:lang w:eastAsia="en-GB"/>
              </w:rPr>
              <w:sym w:font="Symbol" w:char="F0AD"/>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2 rooms</w:t>
            </w:r>
          </w:p>
        </w:tc>
      </w:tr>
      <w:tr w:rsidR="007B4DC1" w:rsidRPr="00091930" w:rsidTr="00A258B5">
        <w:trPr>
          <w:trHeight w:val="1185"/>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lastRenderedPageBreak/>
              <w:t xml:space="preserve">Young couple </w:t>
            </w:r>
            <w:r>
              <w:rPr>
                <w:rFonts w:ascii="Arial" w:eastAsia="Times New Roman" w:hAnsi="Arial" w:cs="Arial"/>
                <w:color w:val="000000"/>
                <w:kern w:val="0"/>
                <w:lang w:eastAsia="en-GB"/>
              </w:rPr>
              <w:t>no c</w:t>
            </w:r>
            <w:r w:rsidRPr="00091930">
              <w:rPr>
                <w:rFonts w:ascii="Arial" w:eastAsia="Times New Roman" w:hAnsi="Arial" w:cs="Arial"/>
                <w:color w:val="000000"/>
                <w:kern w:val="0"/>
                <w:lang w:eastAsia="en-GB"/>
              </w:rPr>
              <w:t xml:space="preserve">hildren </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&gt;Mean (equity poor)</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Market Housing, Shared Equity, DMH</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B"/>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4+ rooms</w:t>
            </w:r>
          </w:p>
        </w:tc>
      </w:tr>
      <w:tr w:rsidR="007B4DC1" w:rsidRPr="00091930" w:rsidTr="00A258B5">
        <w:trPr>
          <w:trHeight w:val="1260"/>
        </w:trPr>
        <w:tc>
          <w:tcPr>
            <w:tcW w:w="2593" w:type="dxa"/>
            <w:tcBorders>
              <w:top w:val="nil"/>
              <w:left w:val="single" w:sz="8" w:space="0" w:color="auto"/>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Concealed households</w:t>
            </w:r>
          </w:p>
        </w:tc>
        <w:tc>
          <w:tcPr>
            <w:tcW w:w="1394"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Lower Quartile (equity poor)</w:t>
            </w:r>
          </w:p>
        </w:tc>
        <w:tc>
          <w:tcPr>
            <w:tcW w:w="1831"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Social Housing</w:t>
            </w:r>
          </w:p>
        </w:tc>
        <w:tc>
          <w:tcPr>
            <w:tcW w:w="1953" w:type="dxa"/>
            <w:tcBorders>
              <w:top w:val="nil"/>
              <w:left w:val="nil"/>
              <w:bottom w:val="single" w:sz="8" w:space="0" w:color="auto"/>
              <w:right w:val="single" w:sz="8" w:space="0" w:color="auto"/>
            </w:tcBorders>
            <w:shd w:val="clear" w:color="auto" w:fill="auto"/>
            <w:vAlign w:val="center"/>
            <w:hideMark/>
          </w:tcPr>
          <w:p w:rsidR="007B4DC1" w:rsidRPr="0096004E" w:rsidRDefault="007B4DC1" w:rsidP="00BF22EF">
            <w:pPr>
              <w:tabs>
                <w:tab w:val="clear" w:pos="284"/>
              </w:tabs>
              <w:spacing w:line="240" w:lineRule="auto"/>
              <w:jc w:val="center"/>
              <w:rPr>
                <w:rFonts w:ascii="Arial" w:eastAsia="Times New Roman" w:hAnsi="Arial" w:cs="Arial"/>
                <w:color w:val="000000"/>
                <w:kern w:val="0"/>
                <w:sz w:val="96"/>
                <w:lang w:eastAsia="en-GB"/>
              </w:rPr>
            </w:pPr>
            <w:r w:rsidRPr="0096004E">
              <w:rPr>
                <w:rFonts w:ascii="Arial" w:eastAsia="Times New Roman" w:hAnsi="Arial" w:cs="Arial"/>
                <w:color w:val="000000"/>
                <w:kern w:val="0"/>
                <w:sz w:val="96"/>
                <w:lang w:eastAsia="en-GB"/>
              </w:rPr>
              <w:sym w:font="Symbol" w:char="F0AB"/>
            </w:r>
          </w:p>
        </w:tc>
        <w:tc>
          <w:tcPr>
            <w:tcW w:w="1309" w:type="dxa"/>
            <w:tcBorders>
              <w:top w:val="nil"/>
              <w:left w:val="nil"/>
              <w:bottom w:val="single" w:sz="8" w:space="0" w:color="auto"/>
              <w:right w:val="single" w:sz="8" w:space="0" w:color="auto"/>
            </w:tcBorders>
            <w:shd w:val="clear" w:color="auto" w:fill="auto"/>
            <w:vAlign w:val="center"/>
            <w:hideMark/>
          </w:tcPr>
          <w:p w:rsidR="007B4DC1" w:rsidRPr="00091930" w:rsidRDefault="007B4DC1" w:rsidP="00BF22EF">
            <w:pPr>
              <w:tabs>
                <w:tab w:val="clear" w:pos="284"/>
              </w:tabs>
              <w:spacing w:line="240" w:lineRule="auto"/>
              <w:rPr>
                <w:rFonts w:ascii="Arial" w:eastAsia="Times New Roman" w:hAnsi="Arial" w:cs="Arial"/>
                <w:color w:val="000000"/>
                <w:kern w:val="0"/>
                <w:lang w:eastAsia="en-GB"/>
              </w:rPr>
            </w:pPr>
            <w:r w:rsidRPr="00091930">
              <w:rPr>
                <w:rFonts w:ascii="Arial" w:eastAsia="Times New Roman" w:hAnsi="Arial" w:cs="Arial"/>
                <w:color w:val="000000"/>
                <w:kern w:val="0"/>
                <w:lang w:eastAsia="en-GB"/>
              </w:rPr>
              <w:t>1-3 rooms</w:t>
            </w:r>
          </w:p>
        </w:tc>
      </w:tr>
    </w:tbl>
    <w:p w:rsidR="00B25544" w:rsidRDefault="007B4DC1" w:rsidP="00B25544">
      <w:pPr>
        <w:pStyle w:val="Source"/>
      </w:pPr>
      <w:r w:rsidRPr="00D343F2">
        <w:t>Source: AECOM</w:t>
      </w:r>
    </w:p>
    <w:p w:rsidR="007B4DC1" w:rsidRPr="00BB16DC" w:rsidRDefault="00A258B5" w:rsidP="00A258B5">
      <w:pPr>
        <w:pStyle w:val="ListNumber"/>
      </w:pPr>
      <w:r>
        <w:t xml:space="preserve">In </w:t>
      </w:r>
      <w:r w:rsidR="004D6078">
        <w:t>T</w:t>
      </w:r>
      <w:r>
        <w:t>able 13</w:t>
      </w:r>
      <w:r w:rsidR="007B4DC1" w:rsidRPr="00BB16DC">
        <w:t xml:space="preserve"> below we provide a table, devised by Nathaniel Litchfield and Partners, setting out recommended dwelling sizes for different household types. This table has been defined on the basis of the following assumptions</w:t>
      </w:r>
      <w:r w:rsidR="007B4DC1">
        <w:t>,</w:t>
      </w:r>
    </w:p>
    <w:p w:rsidR="007B4DC1" w:rsidRPr="00667370" w:rsidRDefault="007B4DC1" w:rsidP="00A258B5">
      <w:pPr>
        <w:pStyle w:val="ListNumber2"/>
        <w:numPr>
          <w:ilvl w:val="1"/>
          <w:numId w:val="43"/>
        </w:numPr>
      </w:pPr>
      <w:r w:rsidRPr="00667370">
        <w:t xml:space="preserve">Smaller apartments/flats or houses will be more suitable for meeting the initial requirements of married couples until the age they have a family. Those households without children could occupy either houses or flats of the appropriate size; </w:t>
      </w:r>
    </w:p>
    <w:p w:rsidR="007B4DC1" w:rsidRPr="00667370" w:rsidRDefault="007B4DC1" w:rsidP="00A258B5">
      <w:pPr>
        <w:pStyle w:val="ListNumber2"/>
        <w:numPr>
          <w:ilvl w:val="1"/>
          <w:numId w:val="43"/>
        </w:numPr>
      </w:pPr>
      <w:r w:rsidRPr="00667370">
        <w:t xml:space="preserve">Cohabiting couples and lone parents will want and require similar sizes of housing to married couples. Those households without children could occupy either houses or flats of the appropriate size; </w:t>
      </w:r>
    </w:p>
    <w:p w:rsidR="007B4DC1" w:rsidRPr="00667370" w:rsidRDefault="007B4DC1" w:rsidP="00A258B5">
      <w:pPr>
        <w:pStyle w:val="ListNumber2"/>
        <w:numPr>
          <w:ilvl w:val="1"/>
          <w:numId w:val="43"/>
        </w:numPr>
      </w:pPr>
      <w:r w:rsidRPr="00667370">
        <w:t xml:space="preserve">Smaller apartments/flats or houses will be more suitable to meeting the requirements of single person households; </w:t>
      </w:r>
    </w:p>
    <w:p w:rsidR="007B4DC1" w:rsidRPr="00667370" w:rsidRDefault="007B4DC1" w:rsidP="00A258B5">
      <w:pPr>
        <w:pStyle w:val="ListNumber2"/>
        <w:numPr>
          <w:ilvl w:val="1"/>
          <w:numId w:val="43"/>
        </w:numPr>
      </w:pPr>
      <w:r w:rsidRPr="00667370">
        <w:t xml:space="preserve">According to their composition, institutional accommodation such as a residential care home, hostel or purpose-built student accommodation </w:t>
      </w:r>
      <w:proofErr w:type="spellStart"/>
      <w:r>
        <w:rPr>
          <w:szCs w:val="16"/>
        </w:rPr>
        <w:t>accom</w:t>
      </w:r>
      <w:r w:rsidRPr="001D0AFA">
        <w:rPr>
          <w:szCs w:val="16"/>
        </w:rPr>
        <w:t>modation</w:t>
      </w:r>
      <w:proofErr w:type="spellEnd"/>
      <w:r w:rsidRPr="001D0AFA">
        <w:rPr>
          <w:szCs w:val="16"/>
        </w:rPr>
        <w:t xml:space="preserve"> </w:t>
      </w:r>
      <w:r>
        <w:rPr>
          <w:szCs w:val="16"/>
        </w:rPr>
        <w:t>may provide a suitable form of specialist housing for groups such as elderly people and students;</w:t>
      </w:r>
    </w:p>
    <w:p w:rsidR="007B4DC1" w:rsidRPr="00667370" w:rsidRDefault="007B4DC1" w:rsidP="00A258B5">
      <w:pPr>
        <w:pStyle w:val="ListNumber2"/>
        <w:numPr>
          <w:ilvl w:val="1"/>
          <w:numId w:val="43"/>
        </w:numPr>
      </w:pPr>
      <w:r w:rsidRPr="00667370">
        <w:t>Further qualitative allowances will need to be made of households at retirement age who are likely to continue living in their previous home unless more manageable t</w:t>
      </w:r>
      <w:r w:rsidR="009C7E35">
        <w:t>wo bed flats, houses and bungalo</w:t>
      </w:r>
      <w:r w:rsidRPr="00667370">
        <w:t xml:space="preserve">ws are available; and </w:t>
      </w:r>
    </w:p>
    <w:p w:rsidR="007B4DC1" w:rsidRPr="00667370" w:rsidRDefault="007B4DC1" w:rsidP="00A258B5">
      <w:pPr>
        <w:pStyle w:val="ListNumber2"/>
        <w:numPr>
          <w:ilvl w:val="1"/>
          <w:numId w:val="43"/>
        </w:numPr>
      </w:pPr>
      <w:r w:rsidRPr="00667370">
        <w:t>The requirement for housing with care, including supported housing and extra care provision, is likely to increase at 85 and above.</w:t>
      </w:r>
    </w:p>
    <w:p w:rsidR="00A258B5" w:rsidRDefault="00A258B5" w:rsidP="00A258B5">
      <w:pPr>
        <w:pStyle w:val="Caption"/>
      </w:pPr>
      <w:r>
        <w:t xml:space="preserve">Table </w:t>
      </w:r>
      <w:fldSimple w:instr=" SEQ Table \* ARABIC ">
        <w:r w:rsidR="00B25544">
          <w:rPr>
            <w:noProof/>
          </w:rPr>
          <w:t>13</w:t>
        </w:r>
      </w:fldSimple>
      <w:r>
        <w:t xml:space="preserve">: </w:t>
      </w:r>
      <w:r w:rsidRPr="004E2AFC">
        <w:t xml:space="preserve">Estimated </w:t>
      </w:r>
      <w:r w:rsidR="004D6078">
        <w:t>h</w:t>
      </w:r>
      <w:r w:rsidRPr="004E2AFC">
        <w:t xml:space="preserve">ousing </w:t>
      </w:r>
      <w:r w:rsidR="004D6078">
        <w:t>s</w:t>
      </w:r>
      <w:r w:rsidRPr="004E2AFC">
        <w:t xml:space="preserve">ize required by </w:t>
      </w:r>
      <w:r w:rsidR="004D6078">
        <w:t>h</w:t>
      </w:r>
      <w:r w:rsidRPr="004E2AFC">
        <w:t xml:space="preserve">ousehold </w:t>
      </w:r>
      <w:r w:rsidR="004D6078">
        <w:t>t</w:t>
      </w:r>
      <w:r w:rsidRPr="004E2AFC">
        <w:t xml:space="preserve">ype, by </w:t>
      </w:r>
      <w:r w:rsidR="004D6078">
        <w:t>a</w:t>
      </w:r>
      <w:r w:rsidRPr="004E2AFC">
        <w:t xml:space="preserve">ge of </w:t>
      </w:r>
      <w:r w:rsidR="004D6078">
        <w:t>h</w:t>
      </w:r>
      <w:r w:rsidRPr="004E2AFC">
        <w:t xml:space="preserve">ead of </w:t>
      </w:r>
      <w:r w:rsidR="004D6078">
        <w:t>h</w:t>
      </w:r>
      <w:r w:rsidRPr="004E2AFC">
        <w:t>ousehold</w:t>
      </w:r>
    </w:p>
    <w:p w:rsidR="007B4DC1" w:rsidRDefault="007B4DC1" w:rsidP="007B4DC1">
      <w:r>
        <w:rPr>
          <w:noProof/>
          <w:lang w:eastAsia="en-GB"/>
        </w:rPr>
        <w:drawing>
          <wp:inline distT="0" distB="0" distL="0" distR="0" wp14:anchorId="08B1E87F" wp14:editId="2C30FC59">
            <wp:extent cx="5731510" cy="26346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634615"/>
                    </a:xfrm>
                    <a:prstGeom prst="rect">
                      <a:avLst/>
                    </a:prstGeom>
                  </pic:spPr>
                </pic:pic>
              </a:graphicData>
            </a:graphic>
          </wp:inline>
        </w:drawing>
      </w:r>
    </w:p>
    <w:p w:rsidR="00B25544" w:rsidRDefault="00B25544" w:rsidP="00B25544">
      <w:pPr>
        <w:pStyle w:val="Source"/>
      </w:pPr>
      <w:r>
        <w:t>Source: NLP</w:t>
      </w:r>
    </w:p>
    <w:p w:rsidR="00886498" w:rsidRPr="00886498" w:rsidRDefault="00886498" w:rsidP="00A258B5">
      <w:pPr>
        <w:pStyle w:val="Heading3"/>
        <w:rPr>
          <w:lang w:val="en-US"/>
        </w:rPr>
      </w:pPr>
      <w:r w:rsidRPr="00886498">
        <w:rPr>
          <w:lang w:val="en-US"/>
        </w:rPr>
        <w:t xml:space="preserve">Arrows </w:t>
      </w:r>
      <w:r w:rsidR="00C22531">
        <w:rPr>
          <w:lang w:val="en-US"/>
        </w:rPr>
        <w:t>a</w:t>
      </w:r>
      <w:r w:rsidRPr="00886498">
        <w:rPr>
          <w:lang w:val="en-US"/>
        </w:rPr>
        <w:t>nalysis</w:t>
      </w:r>
    </w:p>
    <w:p w:rsidR="00886498" w:rsidRDefault="00886498" w:rsidP="00886498">
      <w:pPr>
        <w:rPr>
          <w:bCs/>
          <w:iCs/>
          <w:color w:val="000000" w:themeColor="text1"/>
          <w:lang w:val="en-US"/>
        </w:rPr>
      </w:pPr>
    </w:p>
    <w:p w:rsidR="00886498" w:rsidRPr="00A258B5" w:rsidRDefault="00886498" w:rsidP="00A258B5">
      <w:pPr>
        <w:pStyle w:val="ListNumber"/>
        <w:rPr>
          <w:lang w:val="en-US"/>
        </w:rPr>
      </w:pPr>
      <w:r>
        <w:rPr>
          <w:lang w:val="en-US"/>
        </w:rPr>
        <w:t xml:space="preserve">The principle trends that have been identified are, </w:t>
      </w:r>
    </w:p>
    <w:p w:rsidR="00886498" w:rsidRPr="00886498" w:rsidRDefault="00886498" w:rsidP="00A258B5">
      <w:pPr>
        <w:pStyle w:val="ListNumber2"/>
        <w:rPr>
          <w:lang w:val="en-US"/>
        </w:rPr>
      </w:pPr>
      <w:r w:rsidRPr="00886498">
        <w:rPr>
          <w:lang w:val="en-US"/>
        </w:rPr>
        <w:lastRenderedPageBreak/>
        <w:t>a decline in the</w:t>
      </w:r>
      <w:r>
        <w:rPr>
          <w:lang w:val="en-US"/>
        </w:rPr>
        <w:t xml:space="preserve"> number of those aged under 44, and a corresponding </w:t>
      </w:r>
      <w:r w:rsidRPr="00886498">
        <w:rPr>
          <w:lang w:val="en-US"/>
        </w:rPr>
        <w:t xml:space="preserve">decline in </w:t>
      </w:r>
      <w:r>
        <w:rPr>
          <w:lang w:val="en-US"/>
        </w:rPr>
        <w:t>all households with children, in particular y</w:t>
      </w:r>
      <w:r w:rsidR="00F91E96">
        <w:rPr>
          <w:lang w:val="en-US"/>
        </w:rPr>
        <w:t>ounger families</w:t>
      </w:r>
      <w:r w:rsidRPr="00886498">
        <w:rPr>
          <w:lang w:val="en-US"/>
        </w:rPr>
        <w:t>;</w:t>
      </w:r>
    </w:p>
    <w:p w:rsidR="00886498" w:rsidRPr="00886498" w:rsidRDefault="00886498" w:rsidP="00A258B5">
      <w:pPr>
        <w:pStyle w:val="ListNumber2"/>
        <w:rPr>
          <w:lang w:val="en-US"/>
        </w:rPr>
      </w:pPr>
      <w:r>
        <w:rPr>
          <w:lang w:val="en-US"/>
        </w:rPr>
        <w:t>the presence of a large minority of older residents (aged 65+), and the forecast this trend will continue; and</w:t>
      </w:r>
      <w:r w:rsidRPr="00886498">
        <w:rPr>
          <w:lang w:val="en-US"/>
        </w:rPr>
        <w:t xml:space="preserve"> </w:t>
      </w:r>
    </w:p>
    <w:p w:rsidR="00886498" w:rsidRPr="00A258B5" w:rsidRDefault="00886498" w:rsidP="00A258B5">
      <w:pPr>
        <w:pStyle w:val="ListNumber2"/>
        <w:rPr>
          <w:lang w:val="en-US"/>
        </w:rPr>
      </w:pPr>
      <w:proofErr w:type="gramStart"/>
      <w:r w:rsidRPr="00886498">
        <w:rPr>
          <w:lang w:val="en-US"/>
        </w:rPr>
        <w:t>the</w:t>
      </w:r>
      <w:proofErr w:type="gramEnd"/>
      <w:r w:rsidRPr="00886498">
        <w:rPr>
          <w:lang w:val="en-US"/>
        </w:rPr>
        <w:t xml:space="preserve"> increase in one-person households as a share of the overall population</w:t>
      </w:r>
      <w:r>
        <w:rPr>
          <w:lang w:val="en-US"/>
        </w:rPr>
        <w:t xml:space="preserve">. </w:t>
      </w:r>
    </w:p>
    <w:p w:rsidR="00F91E96" w:rsidRPr="00A258B5" w:rsidRDefault="00F91E96" w:rsidP="007B3872">
      <w:pPr>
        <w:pStyle w:val="ListNumber"/>
        <w:rPr>
          <w:color w:val="0070C0"/>
          <w:lang w:val="en-US"/>
        </w:rPr>
      </w:pPr>
      <w:r>
        <w:rPr>
          <w:lang w:val="en-US"/>
        </w:rPr>
        <w:t xml:space="preserve">We note that the first of these trends threaten to undermine the vitality and viability of the settlement. If this continues, it is likely to reduce demand for infrastructure targeted at families, for example primary schools and play services. </w:t>
      </w:r>
    </w:p>
    <w:p w:rsidR="007B3872" w:rsidRPr="00A258B5" w:rsidRDefault="007B3872" w:rsidP="007B3872">
      <w:pPr>
        <w:pStyle w:val="Heading3"/>
        <w:rPr>
          <w:rFonts w:ascii="Arial" w:hAnsi="Arial" w:cs="Arial"/>
          <w:szCs w:val="24"/>
        </w:rPr>
      </w:pPr>
      <w:r w:rsidRPr="00886498">
        <w:rPr>
          <w:lang w:val="en-US"/>
        </w:rPr>
        <w:t xml:space="preserve">Housing </w:t>
      </w:r>
      <w:r w:rsidR="00C22531">
        <w:rPr>
          <w:lang w:val="en-US"/>
        </w:rPr>
        <w:t>t</w:t>
      </w:r>
      <w:r w:rsidRPr="00886498">
        <w:rPr>
          <w:lang w:val="en-US"/>
        </w:rPr>
        <w:t>enure</w:t>
      </w:r>
    </w:p>
    <w:p w:rsidR="00312E94" w:rsidRDefault="007B3872" w:rsidP="00A258B5">
      <w:pPr>
        <w:pStyle w:val="ListNumber"/>
      </w:pPr>
      <w:r w:rsidRPr="007B3872">
        <w:t xml:space="preserve">Earlier in this study, we identified the various different tenures that constitute AH: social rented housing, </w:t>
      </w:r>
      <w:r w:rsidR="00312E94" w:rsidRPr="007B3872">
        <w:t>affordable rented housing</w:t>
      </w:r>
      <w:r w:rsidR="00312E94">
        <w:t xml:space="preserve">, shared ownership, </w:t>
      </w:r>
      <w:r w:rsidRPr="007B3872">
        <w:t>discounted market</w:t>
      </w:r>
      <w:r w:rsidR="00312E94">
        <w:t xml:space="preserve"> sales housing (Starter Homes) and </w:t>
      </w:r>
      <w:r w:rsidRPr="007B3872">
        <w:t>a</w:t>
      </w:r>
      <w:r w:rsidR="00312E94">
        <w:t>ffordable private rent housing</w:t>
      </w:r>
      <w:r w:rsidRPr="007B3872">
        <w:t xml:space="preserve">. </w:t>
      </w:r>
    </w:p>
    <w:p w:rsidR="00EE2EE7" w:rsidRDefault="00312E94" w:rsidP="00A258B5">
      <w:pPr>
        <w:pStyle w:val="ListNumber"/>
      </w:pPr>
      <w:r>
        <w:t xml:space="preserve">This variety of affordable housing tenures reflects an ambition </w:t>
      </w:r>
      <w:r w:rsidR="00EE2EE7">
        <w:t xml:space="preserve">by the </w:t>
      </w:r>
      <w:r w:rsidR="00C22531">
        <w:t>G</w:t>
      </w:r>
      <w:r w:rsidR="00EE2EE7">
        <w:t xml:space="preserve">overnment to </w:t>
      </w:r>
      <w:r>
        <w:t xml:space="preserve">introduce market principles into the provision of </w:t>
      </w:r>
      <w:r w:rsidR="00EE2EE7">
        <w:t>subsidised housing</w:t>
      </w:r>
      <w:r>
        <w:t xml:space="preserve">. The aim is to divide </w:t>
      </w:r>
      <w:r w:rsidR="00EE2EE7">
        <w:t>affordable housing</w:t>
      </w:r>
      <w:r>
        <w:t xml:space="preserve"> into a series of products design to appeal to d</w:t>
      </w:r>
      <w:r w:rsidR="00EE2EE7">
        <w:t>ifferent sectors of the market and, b</w:t>
      </w:r>
      <w:r>
        <w:t>y changing eligibility criteria, bring rents closer in line with people’s willingness to pay.</w:t>
      </w:r>
    </w:p>
    <w:p w:rsidR="00EE2EE7" w:rsidRDefault="00312E94" w:rsidP="00A258B5">
      <w:pPr>
        <w:pStyle w:val="ListNumber"/>
      </w:pPr>
      <w:r>
        <w:t xml:space="preserve"> A good example is, in 2012, the introduction of affordable rented dwellings, </w:t>
      </w:r>
      <w:r w:rsidRPr="00312E94">
        <w:t xml:space="preserve">rent </w:t>
      </w:r>
      <w:r>
        <w:t xml:space="preserve">for this tenure would be </w:t>
      </w:r>
      <w:r w:rsidRPr="00312E94">
        <w:t xml:space="preserve">set at up to 80% of market rent, with the additional income being used to help fund the development of new homes. </w:t>
      </w:r>
      <w:r w:rsidR="00EE2EE7">
        <w:t xml:space="preserve">Labelled and ‘intermediate’ product, this would be suitable for people with an income that precludes them from eligibility for the social rented dwellings, but who cannot afford to access the private market. </w:t>
      </w:r>
    </w:p>
    <w:p w:rsidR="00312E94" w:rsidRDefault="00312E94" w:rsidP="00A258B5">
      <w:pPr>
        <w:pStyle w:val="ListNumber"/>
      </w:pPr>
      <w:r>
        <w:t xml:space="preserve">The overall aim is to reduce the group who are eligible for social rented dwellings to </w:t>
      </w:r>
      <w:r w:rsidR="00EE2EE7">
        <w:t xml:space="preserve">those who have, relatively speaking, </w:t>
      </w:r>
      <w:proofErr w:type="gramStart"/>
      <w:r w:rsidR="00EE2EE7">
        <w:t>very</w:t>
      </w:r>
      <w:proofErr w:type="gramEnd"/>
      <w:r w:rsidR="00EE2EE7">
        <w:t xml:space="preserve"> low household income. Within this segment of the market principles also apply given the </w:t>
      </w:r>
      <w:r>
        <w:t xml:space="preserve">link </w:t>
      </w:r>
      <w:r w:rsidR="00EE2EE7">
        <w:t xml:space="preserve">between rents and </w:t>
      </w:r>
      <w:r>
        <w:t xml:space="preserve">size of dwelling, with a strong financial incentive </w:t>
      </w:r>
      <w:r w:rsidR="00EE2EE7">
        <w:t xml:space="preserve">for households </w:t>
      </w:r>
      <w:r>
        <w:t xml:space="preserve">only occupy a dwelling suited to their size, based on </w:t>
      </w:r>
      <w:r w:rsidR="00EE2EE7">
        <w:t>an ‘</w:t>
      </w:r>
      <w:r>
        <w:t>occupancy rating</w:t>
      </w:r>
      <w:r w:rsidR="00EE2EE7">
        <w:t>’</w:t>
      </w:r>
      <w:r>
        <w:t xml:space="preserve"> formula </w:t>
      </w:r>
      <w:r w:rsidR="00EE2EE7">
        <w:t xml:space="preserve">set by the Government </w:t>
      </w:r>
      <w:r w:rsidR="005A6A0E">
        <w:t xml:space="preserve">that establishes </w:t>
      </w:r>
      <w:r w:rsidR="00EE2EE7">
        <w:t xml:space="preserve">what is appropriate. </w:t>
      </w:r>
    </w:p>
    <w:p w:rsidR="00DB6B57" w:rsidRDefault="007B3872" w:rsidP="00A258B5">
      <w:pPr>
        <w:pStyle w:val="ListNumber"/>
      </w:pPr>
      <w:r w:rsidRPr="007B3872">
        <w:t xml:space="preserve">We consider each of </w:t>
      </w:r>
      <w:r w:rsidR="00B33D1F">
        <w:t>the AH tenures in turn</w:t>
      </w:r>
      <w:r w:rsidRPr="007B3872">
        <w:t xml:space="preserve">, before arriving at a recommendation for how the quota of AH yielded by development should be divided between these tenure types. </w:t>
      </w:r>
      <w:bookmarkStart w:id="107" w:name="_Toc486855687"/>
      <w:bookmarkStart w:id="108" w:name="_Toc493574816"/>
    </w:p>
    <w:p w:rsidR="00DB6B57" w:rsidRPr="00BA15B9" w:rsidRDefault="00DB6B57" w:rsidP="00A258B5">
      <w:pPr>
        <w:pStyle w:val="Heading3"/>
      </w:pPr>
      <w:r w:rsidRPr="00BA15B9">
        <w:t xml:space="preserve">Social rented housing </w:t>
      </w:r>
    </w:p>
    <w:p w:rsidR="00B33D1F" w:rsidRDefault="00B33D1F" w:rsidP="00DB6B57">
      <w:pPr>
        <w:rPr>
          <w:rFonts w:ascii="Arial" w:hAnsi="Arial" w:cs="Arial"/>
          <w:szCs w:val="24"/>
        </w:rPr>
      </w:pPr>
    </w:p>
    <w:p w:rsidR="00C369F3" w:rsidRDefault="00B33D1F" w:rsidP="00A258B5">
      <w:pPr>
        <w:pStyle w:val="ListNumber"/>
      </w:pPr>
      <w:r>
        <w:t>R</w:t>
      </w:r>
      <w:r w:rsidR="00271B5C" w:rsidRPr="00271B5C">
        <w:t xml:space="preserve">ents in socially rented properties </w:t>
      </w:r>
      <w:r w:rsidR="00271B5C">
        <w:t>reflect a</w:t>
      </w:r>
      <w:r w:rsidR="00271B5C" w:rsidRPr="00271B5C">
        <w:t xml:space="preserve"> </w:t>
      </w:r>
      <w:r w:rsidR="00271B5C">
        <w:t>‘</w:t>
      </w:r>
      <w:r w:rsidR="00271B5C" w:rsidRPr="00271B5C">
        <w:t>formula rent</w:t>
      </w:r>
      <w:r w:rsidR="00271B5C">
        <w:t>’</w:t>
      </w:r>
      <w:r w:rsidR="00271B5C" w:rsidRPr="00271B5C">
        <w:t xml:space="preserve"> based on a combination of individual property values and average earnings in each area, maintaining substantial discounts to market rents. As such, it is suitable for the needs of those on low incomes, and is subject to strict eligibility criteria. </w:t>
      </w:r>
      <w:r w:rsidR="00BA15B9" w:rsidRPr="00BA15B9">
        <w:t>As we have seen, the majority of households in Chichester South are able to afford market dwellings (for sale or rent); of the 30% that cannot, the evidence we have gathered, in particular the Lower Quartile Affordability Ratio of 10.41, suggests there is a significant minority who experience great difficulty in accessing housing suited to their needs. This will be exacerbated by the reported increase in house price</w:t>
      </w:r>
      <w:r w:rsidR="00BA15B9">
        <w:t xml:space="preserve">s in the area in recent years. Moreover, in order to address demographic trends that have seen a decline in the number of young family households, </w:t>
      </w:r>
      <w:r w:rsidR="00BA15B9" w:rsidRPr="00BA15B9">
        <w:t xml:space="preserve">it is appropriate for social </w:t>
      </w:r>
      <w:r w:rsidR="00BA15B9">
        <w:t xml:space="preserve">rented </w:t>
      </w:r>
      <w:r w:rsidR="00BA15B9" w:rsidRPr="00BA15B9">
        <w:t xml:space="preserve">housing to form the majority of </w:t>
      </w:r>
      <w:r w:rsidR="00BA15B9">
        <w:t xml:space="preserve">affordable homes provided. </w:t>
      </w:r>
    </w:p>
    <w:p w:rsidR="007B3872" w:rsidRPr="00A258B5" w:rsidRDefault="007B3872" w:rsidP="00A258B5">
      <w:pPr>
        <w:pStyle w:val="Heading3"/>
        <w:rPr>
          <w:rStyle w:val="Heading2Char"/>
          <w:bCs/>
          <w:sz w:val="22"/>
          <w:szCs w:val="18"/>
        </w:rPr>
      </w:pPr>
      <w:r w:rsidRPr="00A258B5">
        <w:t>Disc</w:t>
      </w:r>
      <w:r w:rsidRPr="00A258B5">
        <w:rPr>
          <w:rStyle w:val="Heading2Char"/>
          <w:bCs/>
          <w:sz w:val="22"/>
          <w:szCs w:val="18"/>
        </w:rPr>
        <w:t>ounted market housing</w:t>
      </w:r>
      <w:bookmarkEnd w:id="107"/>
      <w:r w:rsidRPr="00A258B5">
        <w:rPr>
          <w:rStyle w:val="Heading2Char"/>
          <w:bCs/>
          <w:sz w:val="22"/>
          <w:szCs w:val="18"/>
        </w:rPr>
        <w:t xml:space="preserve"> (starter homes)</w:t>
      </w:r>
      <w:bookmarkEnd w:id="108"/>
    </w:p>
    <w:p w:rsidR="00865E1B" w:rsidRDefault="007B3872" w:rsidP="00A258B5">
      <w:pPr>
        <w:pStyle w:val="ListNumber"/>
      </w:pPr>
      <w:r w:rsidRPr="005A2F52">
        <w:t xml:space="preserve">As we have seen, Housing and Planning Act 2016 (HPA) includes provisions to introduce a general duty on planning authorities in England to promote the supply of ‘starter homes,’ and a specific duty to require a minimum number or proportion of ‘starter homes’ on certain residential development sites. The relevant legislative provisions are, however, not yet in force and no specific proportion or minimum has been put forward.  </w:t>
      </w:r>
    </w:p>
    <w:p w:rsidR="00865E1B" w:rsidRDefault="007B3872" w:rsidP="00A258B5">
      <w:pPr>
        <w:pStyle w:val="ListNumber"/>
      </w:pPr>
      <w:r w:rsidRPr="005A2F52">
        <w:t>The Housing White Paper sheds further light on the government’s intentions in this area. It states that, ‘in keeping with our approach to deliver a range of affordable homes to buy, rather than a mandatory requirement for ‘starter homes,’ we intend to amend the NPPF to introduce a clear policy expectation that housing sites deliver a minimum of 10% affordable home ownership units. It will be for local areas to work with developers to agree an appropriate level of delivery of ‘starter homes’, alongside other affordable home ownership and rented tenures.’</w:t>
      </w:r>
    </w:p>
    <w:p w:rsidR="00865E1B" w:rsidRDefault="007B3872" w:rsidP="00A258B5">
      <w:pPr>
        <w:pStyle w:val="ListNumber"/>
      </w:pPr>
      <w:r w:rsidRPr="00865E1B">
        <w:t>This is a substantial watering-down of the ‘starter home’ requirement as envisaged when policy contained in the Housing and Planning Act was first conceived. In effect, it leaves it to local groups, including neighbourhood plans, to decide an appropriate level of affordable home ownership products, while taking note of the 10% policy expectation.</w:t>
      </w:r>
    </w:p>
    <w:p w:rsidR="00865E1B" w:rsidRDefault="007B3872" w:rsidP="00A258B5">
      <w:pPr>
        <w:pStyle w:val="ListNumber"/>
      </w:pPr>
      <w:r w:rsidRPr="00865E1B">
        <w:lastRenderedPageBreak/>
        <w:t xml:space="preserve">The decision whether to treat Discounted Market Sale Homes (DMSH) as affordable housing should be determined by whether lowering the asking price of new build homes of a size and type suitable to first time buyers by 20% would bring them within reach of people currently unable to access AMH for purchase. </w:t>
      </w:r>
    </w:p>
    <w:p w:rsidR="00C369F3" w:rsidRDefault="00C369F3" w:rsidP="00A258B5">
      <w:pPr>
        <w:pStyle w:val="ListNumber"/>
      </w:pPr>
      <w:r>
        <w:t xml:space="preserve">So as to provide a conservative assessment of suitability of DMSH, we propose to use the higher property values reported by estate agents; this set a value of £287,500 on an entry level dwelling. </w:t>
      </w:r>
      <w:r w:rsidR="007B3872" w:rsidRPr="00865E1B">
        <w:t>As we have seen, allowing for a 10% deposit, reducing the value of a LQ property priced at £</w:t>
      </w:r>
      <w:r>
        <w:t>287,500</w:t>
      </w:r>
      <w:r w:rsidR="007B3872" w:rsidRPr="00865E1B">
        <w:t xml:space="preserve"> for mortgage purposes to £ 151,589, and applying a further discount of 20% to arrive at the approximate selling price of a DMSH of £</w:t>
      </w:r>
      <w:r>
        <w:t>235,750, a house-hold on the median</w:t>
      </w:r>
      <w:r w:rsidR="007B3872" w:rsidRPr="00865E1B">
        <w:t xml:space="preserve"> income for mid-Sussex of £</w:t>
      </w:r>
      <w:r>
        <w:t>40,278 would struggle to afford</w:t>
      </w:r>
      <w:r w:rsidR="007B3872" w:rsidRPr="00865E1B">
        <w:t xml:space="preserve"> a dwelling at this price-point. The Income Threshold </w:t>
      </w:r>
      <w:r>
        <w:t xml:space="preserve">at a multiple of 3.5 is £ 67,357. </w:t>
      </w:r>
      <w:r w:rsidR="007B3872" w:rsidRPr="007C0094">
        <w:t xml:space="preserve">On the basis of the evidence we have gathered, we would therefore </w:t>
      </w:r>
      <w:r>
        <w:t xml:space="preserve">not </w:t>
      </w:r>
      <w:r w:rsidR="007B3872" w:rsidRPr="007C0094">
        <w:t>recommend DMSH form part of the AH quota within the NPA</w:t>
      </w:r>
      <w:r>
        <w:t xml:space="preserve">, notwithstanding the government’s policy expectation. </w:t>
      </w:r>
      <w:bookmarkStart w:id="109" w:name="_Toc486855688"/>
      <w:bookmarkStart w:id="110" w:name="_Toc493574817"/>
    </w:p>
    <w:p w:rsidR="00C369F3" w:rsidRDefault="007B3872" w:rsidP="00A258B5">
      <w:pPr>
        <w:pStyle w:val="Heading3"/>
      </w:pPr>
      <w:r w:rsidRPr="005A2F52">
        <w:t>Shared ownership</w:t>
      </w:r>
      <w:bookmarkEnd w:id="109"/>
      <w:bookmarkEnd w:id="110"/>
    </w:p>
    <w:p w:rsidR="00C369F3" w:rsidRDefault="007B3872" w:rsidP="00A258B5">
      <w:pPr>
        <w:pStyle w:val="ListNumber"/>
      </w:pPr>
      <w:r w:rsidRPr="00C369F3">
        <w:t xml:space="preserve">As we have seen, the shared ownership tenure has seen </w:t>
      </w:r>
      <w:r w:rsidR="003E2A26" w:rsidRPr="00C369F3">
        <w:t xml:space="preserve">modest </w:t>
      </w:r>
      <w:r w:rsidRPr="00C369F3">
        <w:t xml:space="preserve">growth in the NPA between the 2001 and 2011 Censuses. It is therefore worth considering its future role in </w:t>
      </w:r>
      <w:r w:rsidR="003E2A26" w:rsidRPr="00C369F3">
        <w:t>West Wittering</w:t>
      </w:r>
      <w:r w:rsidRPr="00C369F3">
        <w:t xml:space="preserve">. Shared ownership involves the purchaser buying an initial share in a property typically of between 25% and 75% and paying rent on the share retained by the provider. Shared ownership is flexible in two respects, in the share which can be purchased and in the rental payable on the share retained by the provider. Both of these are variable. </w:t>
      </w:r>
    </w:p>
    <w:p w:rsidR="00C369F3" w:rsidRDefault="007B3872" w:rsidP="00A258B5">
      <w:pPr>
        <w:pStyle w:val="ListNumber"/>
      </w:pPr>
      <w:r w:rsidRPr="00C369F3">
        <w:t xml:space="preserve">The share owned by the leaseholder can be varied by 'stair-casing'. Generally, stair-casing will be upward, thereby increasing the share owned. In exceptional circumstances (as a result of financial difficulties, and where the alternative is repossession), and at the discretion of the provider, shared owners may staircase down, thereby reducing the share they own. </w:t>
      </w:r>
    </w:p>
    <w:p w:rsidR="007B3872" w:rsidRPr="00C369F3" w:rsidRDefault="007B3872" w:rsidP="00A258B5">
      <w:pPr>
        <w:pStyle w:val="ListNumber"/>
      </w:pPr>
      <w:r w:rsidRPr="00C369F3">
        <w:t>Shared equity constitutes a form of AH, targeting those on incomes around the mean; as such, it is termed ‘intermediate’ and is available to both first-time buyers, people who have owned a home previously and council and housing association tenants with a good credit rating whose household income does not exceed £60,000. Given these conditions, on the basis of the affordability analysis discussed above, it should form pa</w:t>
      </w:r>
      <w:r w:rsidR="003E2A26" w:rsidRPr="00C369F3">
        <w:t xml:space="preserve">rt of the AH mix in the </w:t>
      </w:r>
      <w:r w:rsidR="005F5CF8">
        <w:t>Parish</w:t>
      </w:r>
      <w:r w:rsidR="003E2A26" w:rsidRPr="00C369F3">
        <w:t>.</w:t>
      </w:r>
    </w:p>
    <w:p w:rsidR="007B3872" w:rsidRPr="00E528D7" w:rsidRDefault="007B3872" w:rsidP="00A258B5">
      <w:pPr>
        <w:pStyle w:val="Heading3"/>
      </w:pPr>
      <w:bookmarkStart w:id="111" w:name="_Toc486855689"/>
      <w:bookmarkStart w:id="112" w:name="_Toc493574818"/>
      <w:r w:rsidRPr="00E528D7">
        <w:t>Affordable rent</w:t>
      </w:r>
      <w:bookmarkEnd w:id="111"/>
      <w:bookmarkEnd w:id="112"/>
    </w:p>
    <w:p w:rsidR="007B3872" w:rsidRPr="00C369F3" w:rsidRDefault="007B3872" w:rsidP="00A258B5">
      <w:pPr>
        <w:pStyle w:val="ListNumber"/>
      </w:pPr>
      <w:r w:rsidRPr="00C369F3">
        <w:t xml:space="preserve">Commentators have repeatedly raised concerns about affordable rent not constituting a realistic form of AH given that in many areas this reduces rent to levels that are still beyond the means of the target group: those on incomes substantially below the mean. The neighbourhood plan should flag the need for the cost of AH targeted at those on lower quartile household incomes to be linked to these income levels. </w:t>
      </w:r>
    </w:p>
    <w:p w:rsidR="003E2A26" w:rsidRPr="003E2A26" w:rsidRDefault="003E2A26" w:rsidP="00A258B5">
      <w:pPr>
        <w:pStyle w:val="Heading3"/>
      </w:pPr>
      <w:r w:rsidRPr="003E2A26">
        <w:t>Market housing</w:t>
      </w:r>
    </w:p>
    <w:p w:rsidR="007B3872" w:rsidRPr="00A457DA" w:rsidRDefault="007B3872" w:rsidP="00A258B5">
      <w:pPr>
        <w:pStyle w:val="ListNumber"/>
      </w:pPr>
      <w:r w:rsidRPr="00C945D5">
        <w:t xml:space="preserve">Given the limited quantity of Affordable Housing in the NPA, the needs of the great majority of the people will be served by the market. People on higher incomes will be able to access a variety of market dwellings; their choices will be driven principally by how much they can afford to spend, the extent to which old age is driving their choice of home as well as personal taste. </w:t>
      </w:r>
    </w:p>
    <w:p w:rsidR="007B3872" w:rsidRPr="00C945D5" w:rsidRDefault="007B3872" w:rsidP="00A258B5">
      <w:pPr>
        <w:pStyle w:val="ListNumber"/>
      </w:pPr>
      <w:r w:rsidRPr="00C945D5">
        <w:t xml:space="preserve">The operation of the market is the best means of addressing the demand for different types of housing for sale. It is important planning policy does not place unnecessary burdens on the market preventing its ability to respond to demand; this is after all the principal way equilibrium is achieved in the housing market and house price growth kept in check. In this way the notion of viability is essential. It is important not to deter development in the context of clear housing need; to do so will not only frustrate the delivery of new housing but also may deprive the community of resources for infrastructure improvements.  </w:t>
      </w:r>
    </w:p>
    <w:p w:rsidR="00A258B5" w:rsidRDefault="00A258B5">
      <w:pPr>
        <w:tabs>
          <w:tab w:val="clear" w:pos="284"/>
        </w:tabs>
        <w:spacing w:line="240" w:lineRule="auto"/>
        <w:rPr>
          <w:rFonts w:asciiTheme="majorHAnsi" w:eastAsiaTheme="majorEastAsia" w:hAnsiTheme="majorHAnsi" w:cstheme="majorBidi"/>
          <w:b/>
          <w:bCs/>
          <w:color w:val="00B5E2" w:themeColor="accent1"/>
          <w:sz w:val="30"/>
          <w:szCs w:val="28"/>
          <w:lang w:val="en-US"/>
        </w:rPr>
      </w:pPr>
      <w:r>
        <w:rPr>
          <w:lang w:val="en-US"/>
        </w:rPr>
        <w:br w:type="page"/>
      </w:r>
    </w:p>
    <w:p w:rsidR="003E2A26" w:rsidRDefault="003E2A26" w:rsidP="00A258B5">
      <w:pPr>
        <w:pStyle w:val="Heading1"/>
        <w:rPr>
          <w:lang w:val="en-US"/>
        </w:rPr>
      </w:pPr>
      <w:bookmarkStart w:id="113" w:name="_Toc504464744"/>
      <w:r w:rsidRPr="003E2A26">
        <w:rPr>
          <w:lang w:val="en-US"/>
        </w:rPr>
        <w:lastRenderedPageBreak/>
        <w:t>RQ3. What type (terrace, semi, bungalows, flats and detached) and size (number of habitable rooms) of housing is appropriate?</w:t>
      </w:r>
      <w:bookmarkEnd w:id="113"/>
    </w:p>
    <w:p w:rsidR="0021554C" w:rsidRDefault="0021554C" w:rsidP="00A258B5">
      <w:pPr>
        <w:pStyle w:val="ListNumber"/>
      </w:pPr>
      <w:r w:rsidRPr="00091930">
        <w:t>As identified earlier in this study, PPG recommends a consideration of the existing housing provision and its suitability, having regard for demographic shifts in age and household composition as well as affordability, to address future as well as current community need. For this reason, we start with a consideratio</w:t>
      </w:r>
      <w:r>
        <w:t xml:space="preserve">n </w:t>
      </w:r>
      <w:r w:rsidR="004444AD">
        <w:t>type and size within the existing</w:t>
      </w:r>
      <w:r w:rsidR="00836EDB">
        <w:t xml:space="preserve"> housing stock. </w:t>
      </w:r>
    </w:p>
    <w:p w:rsidR="00836EDB" w:rsidRPr="00091930" w:rsidRDefault="00A258B5" w:rsidP="00A258B5">
      <w:pPr>
        <w:pStyle w:val="ListNumber"/>
      </w:pPr>
      <w:r>
        <w:t>In Table 14</w:t>
      </w:r>
      <w:r w:rsidR="00836EDB">
        <w:t xml:space="preserve"> below we set out the balance of dwellings of different types in the NPA; this shows a clear preponderance of detached homes at 63.4% of all dwellings. Indeed, houses and bungalows form the great majority</w:t>
      </w:r>
      <w:r w:rsidR="002B27AA">
        <w:t xml:space="preserve"> of dwellings, with flats only representing</w:t>
      </w:r>
      <w:r w:rsidR="00836EDB">
        <w:t xml:space="preserve"> 6.8% of total housing stock. This is particularly significant given the sharp contrast with the </w:t>
      </w:r>
      <w:r w:rsidR="005F5CF8">
        <w:t>District</w:t>
      </w:r>
      <w:r w:rsidR="00836EDB">
        <w:t xml:space="preserve"> level geography in which there is a more even balance between houses of different types. </w:t>
      </w:r>
    </w:p>
    <w:p w:rsidR="00A258B5" w:rsidRDefault="00A258B5" w:rsidP="00A258B5">
      <w:pPr>
        <w:pStyle w:val="Caption"/>
      </w:pPr>
      <w:r>
        <w:t xml:space="preserve">Table </w:t>
      </w:r>
      <w:fldSimple w:instr=" SEQ Table \* ARABIC ">
        <w:r w:rsidR="00B25544">
          <w:rPr>
            <w:noProof/>
          </w:rPr>
          <w:t>14</w:t>
        </w:r>
      </w:fldSimple>
      <w:r>
        <w:t xml:space="preserve">: </w:t>
      </w:r>
      <w:r w:rsidRPr="008B5F74">
        <w:t>Accommodation type (households) in West Wittering, 2011</w:t>
      </w:r>
    </w:p>
    <w:tbl>
      <w:tblPr>
        <w:tblW w:w="9380" w:type="dxa"/>
        <w:tblInd w:w="98" w:type="dxa"/>
        <w:tblLook w:val="04A0" w:firstRow="1" w:lastRow="0" w:firstColumn="1" w:lastColumn="0" w:noHBand="0" w:noVBand="1"/>
      </w:tblPr>
      <w:tblGrid>
        <w:gridCol w:w="2268"/>
        <w:gridCol w:w="2910"/>
        <w:gridCol w:w="1301"/>
        <w:gridCol w:w="1599"/>
        <w:gridCol w:w="1302"/>
      </w:tblGrid>
      <w:tr w:rsidR="00836EDB" w:rsidRPr="00836EDB" w:rsidTr="00836EDB">
        <w:trPr>
          <w:trHeight w:val="240"/>
        </w:trPr>
        <w:tc>
          <w:tcPr>
            <w:tcW w:w="226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b/>
                <w:bCs/>
                <w:color w:val="000000"/>
                <w:kern w:val="0"/>
                <w:lang w:eastAsia="en-GB"/>
              </w:rPr>
            </w:pPr>
            <w:r w:rsidRPr="00836EDB">
              <w:rPr>
                <w:rFonts w:ascii="Arial" w:eastAsia="Times New Roman" w:hAnsi="Arial" w:cs="Arial"/>
                <w:b/>
                <w:bCs/>
                <w:color w:val="000000"/>
                <w:kern w:val="0"/>
                <w:lang w:eastAsia="en-GB"/>
              </w:rPr>
              <w:t>Dwelling type</w:t>
            </w:r>
          </w:p>
        </w:tc>
        <w:tc>
          <w:tcPr>
            <w:tcW w:w="2910" w:type="dxa"/>
            <w:tcBorders>
              <w:top w:val="single" w:sz="8" w:space="0" w:color="auto"/>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b/>
                <w:bCs/>
                <w:color w:val="000000"/>
                <w:kern w:val="0"/>
                <w:lang w:eastAsia="en-GB"/>
              </w:rPr>
            </w:pPr>
            <w:r w:rsidRPr="00836EDB">
              <w:rPr>
                <w:rFonts w:ascii="Arial" w:eastAsia="Times New Roman" w:hAnsi="Arial" w:cs="Arial"/>
                <w:b/>
                <w:bCs/>
                <w:color w:val="000000"/>
                <w:kern w:val="0"/>
                <w:lang w:eastAsia="en-GB"/>
              </w:rPr>
              <w:t> </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b/>
                <w:bCs/>
                <w:color w:val="000000"/>
                <w:kern w:val="0"/>
                <w:lang w:eastAsia="en-GB"/>
              </w:rPr>
            </w:pPr>
            <w:r w:rsidRPr="00836EDB">
              <w:rPr>
                <w:rFonts w:ascii="Arial" w:eastAsia="Times New Roman" w:hAnsi="Arial" w:cs="Arial"/>
                <w:b/>
                <w:bCs/>
                <w:color w:val="000000"/>
                <w:kern w:val="0"/>
                <w:lang w:eastAsia="en-GB"/>
              </w:rPr>
              <w:t>West Wittering</w:t>
            </w:r>
          </w:p>
        </w:tc>
        <w:tc>
          <w:tcPr>
            <w:tcW w:w="1599" w:type="dxa"/>
            <w:tcBorders>
              <w:top w:val="single" w:sz="8" w:space="0" w:color="auto"/>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b/>
                <w:bCs/>
                <w:color w:val="000000"/>
                <w:kern w:val="0"/>
                <w:lang w:eastAsia="en-GB"/>
              </w:rPr>
            </w:pPr>
            <w:r w:rsidRPr="00836EDB">
              <w:rPr>
                <w:rFonts w:ascii="Arial" w:eastAsia="Times New Roman" w:hAnsi="Arial" w:cs="Arial"/>
                <w:b/>
                <w:bCs/>
                <w:color w:val="000000"/>
                <w:kern w:val="0"/>
                <w:lang w:eastAsia="en-GB"/>
              </w:rPr>
              <w:t>Chichester</w:t>
            </w:r>
          </w:p>
        </w:tc>
        <w:tc>
          <w:tcPr>
            <w:tcW w:w="1302" w:type="dxa"/>
            <w:tcBorders>
              <w:top w:val="single" w:sz="8" w:space="0" w:color="auto"/>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b/>
                <w:bCs/>
                <w:color w:val="000000"/>
                <w:kern w:val="0"/>
                <w:lang w:eastAsia="en-GB"/>
              </w:rPr>
            </w:pPr>
            <w:r w:rsidRPr="00836EDB">
              <w:rPr>
                <w:rFonts w:ascii="Arial" w:eastAsia="Times New Roman" w:hAnsi="Arial" w:cs="Arial"/>
                <w:b/>
                <w:bCs/>
                <w:color w:val="000000"/>
                <w:kern w:val="0"/>
                <w:lang w:eastAsia="en-GB"/>
              </w:rPr>
              <w:t>England</w:t>
            </w:r>
          </w:p>
        </w:tc>
      </w:tr>
      <w:tr w:rsidR="00836EDB" w:rsidRPr="00836EDB" w:rsidTr="00836EDB">
        <w:trPr>
          <w:trHeight w:val="228"/>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Whole house or bungalow</w:t>
            </w:r>
          </w:p>
        </w:tc>
        <w:tc>
          <w:tcPr>
            <w:tcW w:w="2910"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Detached</w:t>
            </w:r>
          </w:p>
        </w:tc>
        <w:tc>
          <w:tcPr>
            <w:tcW w:w="1301"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63.4%</w:t>
            </w:r>
          </w:p>
        </w:tc>
        <w:tc>
          <w:tcPr>
            <w:tcW w:w="1599"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37.4%</w:t>
            </w:r>
          </w:p>
        </w:tc>
        <w:tc>
          <w:tcPr>
            <w:tcW w:w="1302" w:type="dxa"/>
            <w:tcBorders>
              <w:top w:val="nil"/>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22.4%</w:t>
            </w:r>
          </w:p>
        </w:tc>
      </w:tr>
      <w:tr w:rsidR="00836EDB" w:rsidRPr="00836EDB" w:rsidTr="00836EDB">
        <w:trPr>
          <w:trHeight w:val="228"/>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 </w:t>
            </w:r>
          </w:p>
        </w:tc>
        <w:tc>
          <w:tcPr>
            <w:tcW w:w="2910"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Semi-detached</w:t>
            </w:r>
          </w:p>
        </w:tc>
        <w:tc>
          <w:tcPr>
            <w:tcW w:w="1301"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19.5%</w:t>
            </w:r>
          </w:p>
        </w:tc>
        <w:tc>
          <w:tcPr>
            <w:tcW w:w="1599"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27.3%</w:t>
            </w:r>
          </w:p>
        </w:tc>
        <w:tc>
          <w:tcPr>
            <w:tcW w:w="1302" w:type="dxa"/>
            <w:tcBorders>
              <w:top w:val="nil"/>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31.2%</w:t>
            </w:r>
          </w:p>
        </w:tc>
      </w:tr>
      <w:tr w:rsidR="00836EDB" w:rsidRPr="00836EDB" w:rsidTr="00836EDB">
        <w:trPr>
          <w:trHeight w:val="228"/>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 </w:t>
            </w:r>
          </w:p>
        </w:tc>
        <w:tc>
          <w:tcPr>
            <w:tcW w:w="2910"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Terraced</w:t>
            </w:r>
          </w:p>
        </w:tc>
        <w:tc>
          <w:tcPr>
            <w:tcW w:w="1301"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8.3%</w:t>
            </w:r>
          </w:p>
        </w:tc>
        <w:tc>
          <w:tcPr>
            <w:tcW w:w="1599"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18.4%</w:t>
            </w:r>
          </w:p>
        </w:tc>
        <w:tc>
          <w:tcPr>
            <w:tcW w:w="1302" w:type="dxa"/>
            <w:tcBorders>
              <w:top w:val="nil"/>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24.5%</w:t>
            </w:r>
          </w:p>
        </w:tc>
      </w:tr>
      <w:tr w:rsidR="00836EDB" w:rsidRPr="00836EDB" w:rsidTr="00836EDB">
        <w:trPr>
          <w:trHeight w:val="228"/>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Flat, maisonette or apartment</w:t>
            </w:r>
          </w:p>
        </w:tc>
        <w:tc>
          <w:tcPr>
            <w:tcW w:w="2910"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Purpose-built block of flats or tenement</w:t>
            </w:r>
          </w:p>
        </w:tc>
        <w:tc>
          <w:tcPr>
            <w:tcW w:w="1301"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6.8%</w:t>
            </w:r>
          </w:p>
        </w:tc>
        <w:tc>
          <w:tcPr>
            <w:tcW w:w="1599"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12.9%</w:t>
            </w:r>
          </w:p>
        </w:tc>
        <w:tc>
          <w:tcPr>
            <w:tcW w:w="1302" w:type="dxa"/>
            <w:tcBorders>
              <w:top w:val="nil"/>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16.4%</w:t>
            </w:r>
          </w:p>
        </w:tc>
      </w:tr>
      <w:tr w:rsidR="00836EDB" w:rsidRPr="00836EDB" w:rsidTr="00836EDB">
        <w:trPr>
          <w:trHeight w:val="228"/>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 </w:t>
            </w:r>
          </w:p>
        </w:tc>
        <w:tc>
          <w:tcPr>
            <w:tcW w:w="2910"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Parts of a converted or shared house</w:t>
            </w:r>
          </w:p>
        </w:tc>
        <w:tc>
          <w:tcPr>
            <w:tcW w:w="1301"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0.9%</w:t>
            </w:r>
          </w:p>
        </w:tc>
        <w:tc>
          <w:tcPr>
            <w:tcW w:w="1599" w:type="dxa"/>
            <w:tcBorders>
              <w:top w:val="nil"/>
              <w:left w:val="nil"/>
              <w:bottom w:val="single" w:sz="4"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2.2%</w:t>
            </w:r>
          </w:p>
        </w:tc>
        <w:tc>
          <w:tcPr>
            <w:tcW w:w="1302" w:type="dxa"/>
            <w:tcBorders>
              <w:top w:val="nil"/>
              <w:left w:val="nil"/>
              <w:bottom w:val="single" w:sz="4"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3.8%</w:t>
            </w:r>
          </w:p>
        </w:tc>
      </w:tr>
      <w:tr w:rsidR="00836EDB" w:rsidRPr="00836EDB" w:rsidTr="00836EDB">
        <w:trPr>
          <w:trHeight w:val="240"/>
        </w:trPr>
        <w:tc>
          <w:tcPr>
            <w:tcW w:w="2268" w:type="dxa"/>
            <w:tcBorders>
              <w:top w:val="nil"/>
              <w:left w:val="single" w:sz="8" w:space="0" w:color="auto"/>
              <w:bottom w:val="single" w:sz="8"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 </w:t>
            </w:r>
          </w:p>
        </w:tc>
        <w:tc>
          <w:tcPr>
            <w:tcW w:w="2910" w:type="dxa"/>
            <w:tcBorders>
              <w:top w:val="nil"/>
              <w:left w:val="nil"/>
              <w:bottom w:val="single" w:sz="8"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In commercial building</w:t>
            </w:r>
          </w:p>
        </w:tc>
        <w:tc>
          <w:tcPr>
            <w:tcW w:w="1301" w:type="dxa"/>
            <w:tcBorders>
              <w:top w:val="nil"/>
              <w:left w:val="nil"/>
              <w:bottom w:val="single" w:sz="8"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0.7%</w:t>
            </w:r>
          </w:p>
        </w:tc>
        <w:tc>
          <w:tcPr>
            <w:tcW w:w="1599" w:type="dxa"/>
            <w:tcBorders>
              <w:top w:val="nil"/>
              <w:left w:val="nil"/>
              <w:bottom w:val="single" w:sz="8" w:space="0" w:color="auto"/>
              <w:right w:val="single" w:sz="4"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1.0%</w:t>
            </w:r>
          </w:p>
        </w:tc>
        <w:tc>
          <w:tcPr>
            <w:tcW w:w="1302" w:type="dxa"/>
            <w:tcBorders>
              <w:top w:val="nil"/>
              <w:left w:val="nil"/>
              <w:bottom w:val="single" w:sz="8" w:space="0" w:color="auto"/>
              <w:right w:val="single" w:sz="8" w:space="0" w:color="auto"/>
            </w:tcBorders>
            <w:shd w:val="clear" w:color="auto" w:fill="auto"/>
            <w:noWrap/>
            <w:vAlign w:val="bottom"/>
            <w:hideMark/>
          </w:tcPr>
          <w:p w:rsidR="00836EDB" w:rsidRPr="00836EDB" w:rsidRDefault="00836EDB" w:rsidP="00836EDB">
            <w:pPr>
              <w:tabs>
                <w:tab w:val="clear" w:pos="284"/>
              </w:tabs>
              <w:spacing w:line="240" w:lineRule="auto"/>
              <w:jc w:val="right"/>
              <w:rPr>
                <w:rFonts w:ascii="Arial" w:eastAsia="Times New Roman" w:hAnsi="Arial" w:cs="Arial"/>
                <w:color w:val="000000"/>
                <w:kern w:val="0"/>
                <w:lang w:eastAsia="en-GB"/>
              </w:rPr>
            </w:pPr>
            <w:r w:rsidRPr="00836EDB">
              <w:rPr>
                <w:rFonts w:ascii="Arial" w:eastAsia="Times New Roman" w:hAnsi="Arial" w:cs="Arial"/>
                <w:color w:val="000000"/>
                <w:kern w:val="0"/>
                <w:lang w:eastAsia="en-GB"/>
              </w:rPr>
              <w:t>1.0%</w:t>
            </w:r>
          </w:p>
        </w:tc>
      </w:tr>
    </w:tbl>
    <w:p w:rsidR="00836EDB" w:rsidRPr="00836EDB" w:rsidRDefault="00836EDB" w:rsidP="00B90B1C">
      <w:pPr>
        <w:pStyle w:val="BodyText"/>
        <w:rPr>
          <w:bCs/>
          <w:i/>
          <w:iCs/>
          <w:color w:val="000000" w:themeColor="text1"/>
          <w:lang w:val="en-US"/>
        </w:rPr>
      </w:pPr>
      <w:r w:rsidRPr="00836EDB">
        <w:rPr>
          <w:bCs/>
          <w:i/>
          <w:iCs/>
          <w:color w:val="000000" w:themeColor="text1"/>
          <w:lang w:val="en-US"/>
        </w:rPr>
        <w:t xml:space="preserve">Source: Census 2011, AECOM Calculations </w:t>
      </w:r>
    </w:p>
    <w:p w:rsidR="002B27AA" w:rsidRDefault="00A258B5" w:rsidP="00A258B5">
      <w:pPr>
        <w:pStyle w:val="ListNumber"/>
        <w:rPr>
          <w:lang w:val="en-US"/>
        </w:rPr>
      </w:pPr>
      <w:r>
        <w:rPr>
          <w:lang w:val="en-US"/>
        </w:rPr>
        <w:t>In Table 15</w:t>
      </w:r>
      <w:r w:rsidR="003D18C8" w:rsidRPr="003D18C8">
        <w:rPr>
          <w:lang w:val="en-US"/>
        </w:rPr>
        <w:t xml:space="preserve"> below </w:t>
      </w:r>
      <w:r w:rsidR="003D18C8">
        <w:rPr>
          <w:lang w:val="en-US"/>
        </w:rPr>
        <w:t xml:space="preserve">we note the change in the distribution of dwellings according to size over the inter-censual period; this should be </w:t>
      </w:r>
      <w:r w:rsidR="00DC7A83">
        <w:rPr>
          <w:lang w:val="en-US"/>
        </w:rPr>
        <w:t xml:space="preserve">read in conjunction with Table 14above </w:t>
      </w:r>
      <w:r w:rsidR="003D18C8">
        <w:rPr>
          <w:lang w:val="en-US"/>
        </w:rPr>
        <w:t xml:space="preserve">that provides the percentage changes. This shows more clearly where the changes have arisen. </w:t>
      </w:r>
    </w:p>
    <w:p w:rsidR="00836EDB" w:rsidRDefault="00DC7A83" w:rsidP="00A258B5">
      <w:pPr>
        <w:pStyle w:val="ListNumber"/>
        <w:rPr>
          <w:lang w:val="en-US"/>
        </w:rPr>
      </w:pPr>
      <w:r>
        <w:rPr>
          <w:lang w:val="en-US"/>
        </w:rPr>
        <w:t>Table 15</w:t>
      </w:r>
      <w:r w:rsidR="00E838D9">
        <w:rPr>
          <w:lang w:val="en-US"/>
        </w:rPr>
        <w:t xml:space="preserve"> shows the change in numerical terms and reveals that, </w:t>
      </w:r>
      <w:r w:rsidR="002B27AA">
        <w:rPr>
          <w:lang w:val="en-US"/>
        </w:rPr>
        <w:t>during this</w:t>
      </w:r>
      <w:r w:rsidR="00E838D9">
        <w:rPr>
          <w:lang w:val="en-US"/>
        </w:rPr>
        <w:t xml:space="preserve"> period, the number of households living in </w:t>
      </w:r>
      <w:r w:rsidR="00E838D9" w:rsidRPr="00E838D9">
        <w:rPr>
          <w:lang w:val="en-US"/>
        </w:rPr>
        <w:t xml:space="preserve">small dwellings sized between 1 and 3 habitable rooms </w:t>
      </w:r>
      <w:r w:rsidR="00E838D9">
        <w:rPr>
          <w:lang w:val="en-US"/>
        </w:rPr>
        <w:t xml:space="preserve">increased by 30, in </w:t>
      </w:r>
      <w:r w:rsidR="00E838D9" w:rsidRPr="00E838D9">
        <w:rPr>
          <w:lang w:val="en-US"/>
        </w:rPr>
        <w:t>larger family homes of 6 habitable rooms or more</w:t>
      </w:r>
      <w:r w:rsidR="00E838D9">
        <w:rPr>
          <w:lang w:val="en-US"/>
        </w:rPr>
        <w:t xml:space="preserve"> by 64</w:t>
      </w:r>
      <w:r w:rsidR="00E838D9" w:rsidRPr="00E838D9">
        <w:rPr>
          <w:lang w:val="en-US"/>
        </w:rPr>
        <w:t xml:space="preserve">, but 78 </w:t>
      </w:r>
      <w:r w:rsidR="00E838D9">
        <w:rPr>
          <w:lang w:val="en-US"/>
        </w:rPr>
        <w:t xml:space="preserve">fewer households were occupying </w:t>
      </w:r>
      <w:r w:rsidR="00E838D9" w:rsidRPr="00E838D9">
        <w:rPr>
          <w:lang w:val="en-US"/>
        </w:rPr>
        <w:t>dwellings of medium size (4-5 habitable rooms). Overall, in 2011, only 4% of households were living in small dwellings, the balance was split between medium sized and large dwellings, with 30% of households living in the former and 44% in the latter.</w:t>
      </w:r>
    </w:p>
    <w:p w:rsidR="00BF22EF" w:rsidRDefault="00BF22EF" w:rsidP="00A258B5">
      <w:pPr>
        <w:pStyle w:val="ListNumber"/>
        <w:rPr>
          <w:lang w:val="en-US"/>
        </w:rPr>
      </w:pPr>
      <w:r>
        <w:rPr>
          <w:lang w:val="en-US"/>
        </w:rPr>
        <w:t xml:space="preserve">It is possible to use this data as a proxy for the distribution of size of dwellings across the NPA; firstly, there are very few small dwellings, this must lead us to query whether the housing stock is suited to community need given </w:t>
      </w:r>
      <w:proofErr w:type="spellStart"/>
      <w:r>
        <w:rPr>
          <w:lang w:val="en-US"/>
        </w:rPr>
        <w:t>given</w:t>
      </w:r>
      <w:proofErr w:type="spellEnd"/>
      <w:r>
        <w:rPr>
          <w:lang w:val="en-US"/>
        </w:rPr>
        <w:t xml:space="preserve"> the changes that have been observed over the inter-censual period, in particular the growth in one person households. </w:t>
      </w:r>
    </w:p>
    <w:p w:rsidR="00BF22EF" w:rsidRDefault="00BF22EF" w:rsidP="00A258B5">
      <w:pPr>
        <w:pStyle w:val="ListNumber"/>
        <w:rPr>
          <w:lang w:val="en-US"/>
        </w:rPr>
      </w:pPr>
      <w:r>
        <w:rPr>
          <w:lang w:val="en-US"/>
        </w:rPr>
        <w:t xml:space="preserve">Bearing in mind the </w:t>
      </w:r>
      <w:r w:rsidR="00591B3F">
        <w:rPr>
          <w:lang w:val="en-US"/>
        </w:rPr>
        <w:t>preponderance</w:t>
      </w:r>
      <w:r>
        <w:rPr>
          <w:lang w:val="en-US"/>
        </w:rPr>
        <w:t xml:space="preserve"> of detached dwellings, the </w:t>
      </w:r>
      <w:r w:rsidR="00591B3F">
        <w:rPr>
          <w:lang w:val="en-US"/>
        </w:rPr>
        <w:t>fact that larger dwellings constitute the greatest minority within the housing stock (44%) has</w:t>
      </w:r>
      <w:r>
        <w:rPr>
          <w:lang w:val="en-US"/>
        </w:rPr>
        <w:t xml:space="preserve"> implications for affordability. Land Registry price paid data </w:t>
      </w:r>
      <w:r w:rsidR="00591B3F">
        <w:rPr>
          <w:lang w:val="en-US"/>
        </w:rPr>
        <w:t xml:space="preserve">suggests the average price for a detached dwelling in West </w:t>
      </w:r>
      <w:proofErr w:type="spellStart"/>
      <w:r w:rsidR="00591B3F">
        <w:rPr>
          <w:lang w:val="en-US"/>
        </w:rPr>
        <w:t>Wittering</w:t>
      </w:r>
      <w:proofErr w:type="spellEnd"/>
      <w:r w:rsidR="00591B3F">
        <w:rPr>
          <w:lang w:val="en-US"/>
        </w:rPr>
        <w:t xml:space="preserve"> in 2016 was £664,593. The </w:t>
      </w:r>
      <w:r w:rsidR="00792AAF">
        <w:rPr>
          <w:lang w:val="en-US"/>
        </w:rPr>
        <w:t>‘</w:t>
      </w:r>
      <w:r w:rsidR="00591B3F">
        <w:rPr>
          <w:lang w:val="en-US"/>
        </w:rPr>
        <w:t>purchase threshold</w:t>
      </w:r>
      <w:r w:rsidR="00792AAF">
        <w:rPr>
          <w:lang w:val="en-US"/>
        </w:rPr>
        <w:t>’</w:t>
      </w:r>
      <w:r w:rsidR="00591B3F">
        <w:rPr>
          <w:lang w:val="en-US"/>
        </w:rPr>
        <w:t xml:space="preserve"> for a dwelling of this size </w:t>
      </w:r>
      <w:r w:rsidR="002B27AA">
        <w:rPr>
          <w:lang w:val="en-US"/>
        </w:rPr>
        <w:t>would be</w:t>
      </w:r>
      <w:r w:rsidR="00591B3F">
        <w:rPr>
          <w:lang w:val="en-US"/>
        </w:rPr>
        <w:t xml:space="preserve"> £170,895. This suggests a large proportion of all dwellings in West </w:t>
      </w:r>
      <w:proofErr w:type="spellStart"/>
      <w:r w:rsidR="00591B3F">
        <w:rPr>
          <w:lang w:val="en-US"/>
        </w:rPr>
        <w:t>Wittering</w:t>
      </w:r>
      <w:proofErr w:type="spellEnd"/>
      <w:r w:rsidR="00591B3F">
        <w:rPr>
          <w:lang w:val="en-US"/>
        </w:rPr>
        <w:t xml:space="preserve"> are well beyond the means of those on average </w:t>
      </w:r>
      <w:proofErr w:type="gramStart"/>
      <w:r w:rsidR="00591B3F">
        <w:rPr>
          <w:lang w:val="en-US"/>
        </w:rPr>
        <w:t>households</w:t>
      </w:r>
      <w:proofErr w:type="gramEnd"/>
      <w:r w:rsidR="00591B3F">
        <w:rPr>
          <w:lang w:val="en-US"/>
        </w:rPr>
        <w:t xml:space="preserve"> incomes. </w:t>
      </w:r>
    </w:p>
    <w:p w:rsidR="00A258B5" w:rsidRDefault="00A258B5">
      <w:pPr>
        <w:tabs>
          <w:tab w:val="clear" w:pos="284"/>
        </w:tabs>
        <w:spacing w:line="240" w:lineRule="auto"/>
        <w:rPr>
          <w:rFonts w:asciiTheme="majorHAnsi" w:hAnsiTheme="majorHAnsi"/>
          <w:b/>
          <w:bCs/>
          <w:color w:val="00B5E2" w:themeColor="accent1"/>
          <w:sz w:val="20"/>
        </w:rPr>
      </w:pPr>
      <w:r>
        <w:br w:type="page"/>
      </w:r>
    </w:p>
    <w:p w:rsidR="00A258B5" w:rsidRDefault="00A258B5" w:rsidP="00A258B5">
      <w:pPr>
        <w:pStyle w:val="Caption"/>
      </w:pPr>
      <w:r>
        <w:lastRenderedPageBreak/>
        <w:t xml:space="preserve">Table </w:t>
      </w:r>
      <w:fldSimple w:instr=" SEQ Table \* ARABIC ">
        <w:r w:rsidR="00B25544">
          <w:rPr>
            <w:noProof/>
          </w:rPr>
          <w:t>15</w:t>
        </w:r>
      </w:fldSimple>
      <w:r>
        <w:t xml:space="preserve">: </w:t>
      </w:r>
      <w:r w:rsidRPr="003B1D84">
        <w:t>Rates of change in number of rooms per household in West Wittering, 2001-2011</w:t>
      </w:r>
    </w:p>
    <w:tbl>
      <w:tblPr>
        <w:tblW w:w="8820" w:type="dxa"/>
        <w:tblInd w:w="98" w:type="dxa"/>
        <w:tblLook w:val="04A0" w:firstRow="1" w:lastRow="0" w:firstColumn="1" w:lastColumn="0" w:noHBand="0" w:noVBand="1"/>
      </w:tblPr>
      <w:tblGrid>
        <w:gridCol w:w="2600"/>
        <w:gridCol w:w="1900"/>
        <w:gridCol w:w="1460"/>
        <w:gridCol w:w="1460"/>
        <w:gridCol w:w="1400"/>
      </w:tblGrid>
      <w:tr w:rsidR="003D18C8" w:rsidRPr="003D18C8" w:rsidTr="003D18C8">
        <w:trPr>
          <w:trHeight w:val="240"/>
        </w:trPr>
        <w:tc>
          <w:tcPr>
            <w:tcW w:w="2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 </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2001</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2001</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2011</w:t>
            </w: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2011</w:t>
            </w:r>
          </w:p>
        </w:tc>
      </w:tr>
      <w:tr w:rsidR="003D18C8" w:rsidRPr="003D18C8" w:rsidTr="003D18C8">
        <w:trPr>
          <w:trHeight w:val="24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Number of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West Wittering</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Chichester</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West Wittering</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Chichester</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 Room</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254</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195</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6</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763</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12</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1004</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24</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3326</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49</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4090</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291</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8689</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225</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8829</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5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307</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11294</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295</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11009</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6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244</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8568</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242</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9310</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7 Rooms</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154</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4926</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184</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5667</w:t>
            </w:r>
          </w:p>
        </w:tc>
      </w:tr>
      <w:tr w:rsidR="003D18C8" w:rsidRPr="003D18C8" w:rsidTr="003D18C8">
        <w:trPr>
          <w:trHeight w:val="228"/>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 Rooms or more</w:t>
            </w:r>
          </w:p>
        </w:tc>
        <w:tc>
          <w:tcPr>
            <w:tcW w:w="19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307</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7976</w:t>
            </w:r>
          </w:p>
        </w:tc>
        <w:tc>
          <w:tcPr>
            <w:tcW w:w="146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143</w:t>
            </w:r>
          </w:p>
        </w:tc>
        <w:tc>
          <w:tcPr>
            <w:tcW w:w="140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4119</w:t>
            </w:r>
          </w:p>
        </w:tc>
      </w:tr>
      <w:tr w:rsidR="003D18C8" w:rsidRPr="003D18C8" w:rsidTr="003D18C8">
        <w:trPr>
          <w:trHeight w:val="240"/>
        </w:trPr>
        <w:tc>
          <w:tcPr>
            <w:tcW w:w="2600" w:type="dxa"/>
            <w:tcBorders>
              <w:top w:val="nil"/>
              <w:left w:val="single" w:sz="8" w:space="0" w:color="auto"/>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9 Rooms or more</w:t>
            </w:r>
          </w:p>
        </w:tc>
        <w:tc>
          <w:tcPr>
            <w:tcW w:w="1900" w:type="dxa"/>
            <w:tcBorders>
              <w:top w:val="nil"/>
              <w:left w:val="nil"/>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 </w:t>
            </w:r>
          </w:p>
        </w:tc>
        <w:tc>
          <w:tcPr>
            <w:tcW w:w="1460" w:type="dxa"/>
            <w:tcBorders>
              <w:top w:val="nil"/>
              <w:left w:val="nil"/>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 </w:t>
            </w:r>
          </w:p>
        </w:tc>
        <w:tc>
          <w:tcPr>
            <w:tcW w:w="1460" w:type="dxa"/>
            <w:tcBorders>
              <w:top w:val="nil"/>
              <w:left w:val="nil"/>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200</w:t>
            </w:r>
          </w:p>
        </w:tc>
        <w:tc>
          <w:tcPr>
            <w:tcW w:w="1400" w:type="dxa"/>
            <w:tcBorders>
              <w:top w:val="nil"/>
              <w:left w:val="nil"/>
              <w:bottom w:val="single" w:sz="8"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5625</w:t>
            </w:r>
          </w:p>
        </w:tc>
      </w:tr>
    </w:tbl>
    <w:p w:rsidR="00BF22EF" w:rsidRPr="00836EDB" w:rsidRDefault="00BF22EF" w:rsidP="00BF22EF">
      <w:pPr>
        <w:pStyle w:val="BodyText"/>
        <w:rPr>
          <w:bCs/>
          <w:i/>
          <w:iCs/>
          <w:color w:val="000000" w:themeColor="text1"/>
          <w:lang w:val="en-US"/>
        </w:rPr>
      </w:pPr>
      <w:r w:rsidRPr="00836EDB">
        <w:rPr>
          <w:bCs/>
          <w:i/>
          <w:iCs/>
          <w:color w:val="000000" w:themeColor="text1"/>
          <w:lang w:val="en-US"/>
        </w:rPr>
        <w:t xml:space="preserve">Source: Census </w:t>
      </w:r>
      <w:r>
        <w:rPr>
          <w:bCs/>
          <w:i/>
          <w:iCs/>
          <w:color w:val="000000" w:themeColor="text1"/>
          <w:lang w:val="en-US"/>
        </w:rPr>
        <w:t xml:space="preserve">2001 and </w:t>
      </w:r>
      <w:r w:rsidRPr="00836EDB">
        <w:rPr>
          <w:bCs/>
          <w:i/>
          <w:iCs/>
          <w:color w:val="000000" w:themeColor="text1"/>
          <w:lang w:val="en-US"/>
        </w:rPr>
        <w:t xml:space="preserve">2011, AECOM </w:t>
      </w:r>
      <w:r w:rsidR="00C22531">
        <w:rPr>
          <w:bCs/>
          <w:i/>
          <w:iCs/>
          <w:color w:val="000000" w:themeColor="text1"/>
          <w:lang w:val="en-US"/>
        </w:rPr>
        <w:t>c</w:t>
      </w:r>
      <w:r w:rsidRPr="00836EDB">
        <w:rPr>
          <w:bCs/>
          <w:i/>
          <w:iCs/>
          <w:color w:val="000000" w:themeColor="text1"/>
          <w:lang w:val="en-US"/>
        </w:rPr>
        <w:t xml:space="preserve">alculations </w:t>
      </w:r>
    </w:p>
    <w:p w:rsidR="00A258B5" w:rsidRDefault="00A258B5" w:rsidP="00A258B5">
      <w:pPr>
        <w:pStyle w:val="Caption"/>
      </w:pPr>
      <w:r>
        <w:t xml:space="preserve">Table </w:t>
      </w:r>
      <w:fldSimple w:instr=" SEQ Table \* ARABIC ">
        <w:r w:rsidR="00B25544">
          <w:rPr>
            <w:noProof/>
          </w:rPr>
          <w:t>16</w:t>
        </w:r>
      </w:fldSimple>
      <w:r>
        <w:t xml:space="preserve">: </w:t>
      </w:r>
      <w:r w:rsidRPr="00822E21">
        <w:t>Rates of change (%) in number of rooms per household in West Wittering, 2001-2011</w:t>
      </w:r>
    </w:p>
    <w:tbl>
      <w:tblPr>
        <w:tblW w:w="7860" w:type="dxa"/>
        <w:tblInd w:w="98" w:type="dxa"/>
        <w:tblLook w:val="04A0" w:firstRow="1" w:lastRow="0" w:firstColumn="1" w:lastColumn="0" w:noHBand="0" w:noVBand="1"/>
      </w:tblPr>
      <w:tblGrid>
        <w:gridCol w:w="2440"/>
        <w:gridCol w:w="2300"/>
        <w:gridCol w:w="1400"/>
        <w:gridCol w:w="1720"/>
      </w:tblGrid>
      <w:tr w:rsidR="003D18C8" w:rsidRPr="003D18C8" w:rsidTr="003D18C8">
        <w:trPr>
          <w:trHeight w:val="240"/>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 xml:space="preserve">Number of </w:t>
            </w:r>
            <w:r w:rsidR="00C22531">
              <w:rPr>
                <w:rFonts w:ascii="Arial" w:eastAsia="Times New Roman" w:hAnsi="Arial" w:cs="Arial"/>
                <w:b/>
                <w:bCs/>
                <w:color w:val="000000"/>
                <w:kern w:val="0"/>
                <w:lang w:eastAsia="en-GB"/>
              </w:rPr>
              <w:t>r</w:t>
            </w:r>
            <w:r w:rsidRPr="003D18C8">
              <w:rPr>
                <w:rFonts w:ascii="Arial" w:eastAsia="Times New Roman" w:hAnsi="Arial" w:cs="Arial"/>
                <w:b/>
                <w:bCs/>
                <w:color w:val="000000"/>
                <w:kern w:val="0"/>
                <w:lang w:eastAsia="en-GB"/>
              </w:rPr>
              <w:t>ooms</w:t>
            </w:r>
          </w:p>
        </w:tc>
        <w:tc>
          <w:tcPr>
            <w:tcW w:w="2300" w:type="dxa"/>
            <w:tcBorders>
              <w:top w:val="single" w:sz="8" w:space="0" w:color="auto"/>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West Wittering</w:t>
            </w:r>
          </w:p>
        </w:tc>
        <w:tc>
          <w:tcPr>
            <w:tcW w:w="1400" w:type="dxa"/>
            <w:tcBorders>
              <w:top w:val="single" w:sz="8" w:space="0" w:color="auto"/>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Chichester</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b/>
                <w:bCs/>
                <w:color w:val="000000"/>
                <w:kern w:val="0"/>
                <w:lang w:eastAsia="en-GB"/>
              </w:rPr>
            </w:pPr>
            <w:r w:rsidRPr="003D18C8">
              <w:rPr>
                <w:rFonts w:ascii="Arial" w:eastAsia="Times New Roman" w:hAnsi="Arial" w:cs="Arial"/>
                <w:b/>
                <w:bCs/>
                <w:color w:val="000000"/>
                <w:kern w:val="0"/>
                <w:lang w:eastAsia="en-GB"/>
              </w:rPr>
              <w:t>England</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 Room</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-33.3%</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-23.2%</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-5.2%</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31.6%</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24.2%</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104.2%</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23.0%</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20.4%</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4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-22.7%</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1.6%</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3.5%</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5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-3.9%</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-2.5%</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-1.8%</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6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-0.8%</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8.7%</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2.1%</w:t>
            </w:r>
          </w:p>
        </w:tc>
      </w:tr>
      <w:tr w:rsidR="003D18C8" w:rsidRPr="003D18C8" w:rsidTr="003D18C8">
        <w:trPr>
          <w:trHeight w:val="228"/>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7 Rooms</w:t>
            </w:r>
          </w:p>
        </w:tc>
        <w:tc>
          <w:tcPr>
            <w:tcW w:w="23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19.5%</w:t>
            </w:r>
          </w:p>
        </w:tc>
        <w:tc>
          <w:tcPr>
            <w:tcW w:w="1400" w:type="dxa"/>
            <w:tcBorders>
              <w:top w:val="nil"/>
              <w:left w:val="nil"/>
              <w:bottom w:val="single" w:sz="4"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15.0%</w:t>
            </w:r>
          </w:p>
        </w:tc>
        <w:tc>
          <w:tcPr>
            <w:tcW w:w="1720" w:type="dxa"/>
            <w:tcBorders>
              <w:top w:val="nil"/>
              <w:left w:val="nil"/>
              <w:bottom w:val="single" w:sz="4"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17.9%</w:t>
            </w:r>
          </w:p>
        </w:tc>
      </w:tr>
      <w:tr w:rsidR="003D18C8" w:rsidRPr="003D18C8" w:rsidTr="003D18C8">
        <w:trPr>
          <w:trHeight w:val="240"/>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8 Rooms or more</w:t>
            </w:r>
          </w:p>
        </w:tc>
        <w:tc>
          <w:tcPr>
            <w:tcW w:w="2300" w:type="dxa"/>
            <w:tcBorders>
              <w:top w:val="nil"/>
              <w:left w:val="nil"/>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11.7%</w:t>
            </w:r>
          </w:p>
        </w:tc>
        <w:tc>
          <w:tcPr>
            <w:tcW w:w="1400" w:type="dxa"/>
            <w:tcBorders>
              <w:top w:val="nil"/>
              <w:left w:val="nil"/>
              <w:bottom w:val="single" w:sz="8" w:space="0" w:color="auto"/>
              <w:right w:val="single" w:sz="4"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22.2%</w:t>
            </w:r>
          </w:p>
        </w:tc>
        <w:tc>
          <w:tcPr>
            <w:tcW w:w="1720" w:type="dxa"/>
            <w:tcBorders>
              <w:top w:val="nil"/>
              <w:left w:val="nil"/>
              <w:bottom w:val="single" w:sz="8" w:space="0" w:color="auto"/>
              <w:right w:val="single" w:sz="8" w:space="0" w:color="auto"/>
            </w:tcBorders>
            <w:shd w:val="clear" w:color="auto" w:fill="auto"/>
            <w:noWrap/>
            <w:vAlign w:val="bottom"/>
            <w:hideMark/>
          </w:tcPr>
          <w:p w:rsidR="003D18C8" w:rsidRPr="003D18C8" w:rsidRDefault="003D18C8" w:rsidP="003D18C8">
            <w:pPr>
              <w:tabs>
                <w:tab w:val="clear" w:pos="284"/>
              </w:tabs>
              <w:spacing w:line="240" w:lineRule="auto"/>
              <w:jc w:val="right"/>
              <w:rPr>
                <w:rFonts w:ascii="Arial" w:eastAsia="Times New Roman" w:hAnsi="Arial" w:cs="Arial"/>
                <w:color w:val="000000"/>
                <w:kern w:val="0"/>
                <w:lang w:eastAsia="en-GB"/>
              </w:rPr>
            </w:pPr>
            <w:r w:rsidRPr="003D18C8">
              <w:rPr>
                <w:rFonts w:ascii="Arial" w:eastAsia="Times New Roman" w:hAnsi="Arial" w:cs="Arial"/>
                <w:color w:val="000000"/>
                <w:kern w:val="0"/>
                <w:lang w:eastAsia="en-GB"/>
              </w:rPr>
              <w:t>29.8%</w:t>
            </w:r>
          </w:p>
        </w:tc>
      </w:tr>
    </w:tbl>
    <w:p w:rsidR="00BF22EF" w:rsidRPr="00BF22EF" w:rsidRDefault="00BF22EF" w:rsidP="00BF22EF">
      <w:pPr>
        <w:pStyle w:val="BodyText"/>
        <w:rPr>
          <w:bCs/>
          <w:i/>
          <w:iCs/>
          <w:color w:val="000000" w:themeColor="text1"/>
          <w:lang w:val="en-US"/>
        </w:rPr>
      </w:pPr>
      <w:r w:rsidRPr="00BF22EF">
        <w:rPr>
          <w:bCs/>
          <w:i/>
          <w:iCs/>
          <w:color w:val="000000" w:themeColor="text1"/>
          <w:lang w:val="en-US"/>
        </w:rPr>
        <w:t xml:space="preserve">Source: Census 2001 and 2011, AECOM </w:t>
      </w:r>
      <w:r w:rsidR="00C22531">
        <w:rPr>
          <w:bCs/>
          <w:i/>
          <w:iCs/>
          <w:color w:val="000000" w:themeColor="text1"/>
          <w:lang w:val="en-US"/>
        </w:rPr>
        <w:t>c</w:t>
      </w:r>
      <w:r w:rsidRPr="00BF22EF">
        <w:rPr>
          <w:bCs/>
          <w:i/>
          <w:iCs/>
          <w:color w:val="000000" w:themeColor="text1"/>
          <w:lang w:val="en-US"/>
        </w:rPr>
        <w:t xml:space="preserve">alculations </w:t>
      </w:r>
    </w:p>
    <w:p w:rsidR="006C291A" w:rsidRDefault="00BF22EF" w:rsidP="00A258B5">
      <w:pPr>
        <w:pStyle w:val="ListNumber"/>
        <w:rPr>
          <w:lang w:val="en-US"/>
        </w:rPr>
      </w:pPr>
      <w:r w:rsidRPr="00BF22EF">
        <w:rPr>
          <w:lang w:val="en-US"/>
        </w:rPr>
        <w:t xml:space="preserve">The </w:t>
      </w:r>
      <w:r w:rsidR="006713D2" w:rsidRPr="006713D2">
        <w:rPr>
          <w:lang w:val="en-US"/>
        </w:rPr>
        <w:t>CWSS12</w:t>
      </w:r>
      <w:r w:rsidRPr="00BF22EF">
        <w:rPr>
          <w:lang w:val="en-US"/>
        </w:rPr>
        <w:t xml:space="preserve"> </w:t>
      </w:r>
      <w:r>
        <w:rPr>
          <w:lang w:val="en-US"/>
        </w:rPr>
        <w:t xml:space="preserve">is helpful in clarifying </w:t>
      </w:r>
      <w:r w:rsidR="00792AAF">
        <w:rPr>
          <w:lang w:val="en-US"/>
        </w:rPr>
        <w:t xml:space="preserve">the size of dwellings </w:t>
      </w:r>
      <w:r w:rsidR="006C291A">
        <w:rPr>
          <w:lang w:val="en-US"/>
        </w:rPr>
        <w:t xml:space="preserve">suited to meeting the needs of </w:t>
      </w:r>
      <w:r w:rsidR="00792AAF">
        <w:rPr>
          <w:lang w:val="en-US"/>
        </w:rPr>
        <w:t xml:space="preserve">the various sub-areas including </w:t>
      </w:r>
      <w:proofErr w:type="spellStart"/>
      <w:r w:rsidR="00792AAF">
        <w:rPr>
          <w:lang w:val="en-US"/>
        </w:rPr>
        <w:t>Chichester</w:t>
      </w:r>
      <w:proofErr w:type="spellEnd"/>
      <w:r w:rsidR="00792AAF">
        <w:rPr>
          <w:lang w:val="en-US"/>
        </w:rPr>
        <w:t xml:space="preserve"> South. </w:t>
      </w:r>
      <w:r w:rsidR="006C291A">
        <w:rPr>
          <w:lang w:val="en-US"/>
        </w:rPr>
        <w:t>In T</w:t>
      </w:r>
      <w:r w:rsidR="00A258B5">
        <w:rPr>
          <w:lang w:val="en-US"/>
        </w:rPr>
        <w:t>ables 15</w:t>
      </w:r>
      <w:r w:rsidR="006C291A">
        <w:rPr>
          <w:lang w:val="en-US"/>
        </w:rPr>
        <w:t xml:space="preserve"> and </w:t>
      </w:r>
      <w:r w:rsidR="00A258B5">
        <w:rPr>
          <w:lang w:val="en-US"/>
        </w:rPr>
        <w:t>16</w:t>
      </w:r>
      <w:r w:rsidR="006C291A">
        <w:rPr>
          <w:lang w:val="en-US"/>
        </w:rPr>
        <w:t xml:space="preserve"> below we reproduce Figures 211 and 212 from the </w:t>
      </w:r>
      <w:r w:rsidR="006713D2" w:rsidRPr="006713D2">
        <w:rPr>
          <w:lang w:val="en-US"/>
        </w:rPr>
        <w:t>CWSS12</w:t>
      </w:r>
      <w:r w:rsidR="006C291A">
        <w:rPr>
          <w:lang w:val="en-US"/>
        </w:rPr>
        <w:t xml:space="preserve"> that provides estimates of dwellings required from 2011 to 2031 for market and affordable housing respectively. Noting that a one bedroom home is likely to be dwelling of 1-2 habitable rooms, and a 2 bedroom home a dwelling of 3 habitable rooms, in </w:t>
      </w:r>
      <w:proofErr w:type="spellStart"/>
      <w:r w:rsidR="006C291A">
        <w:rPr>
          <w:lang w:val="en-US"/>
        </w:rPr>
        <w:t>Chichester</w:t>
      </w:r>
      <w:proofErr w:type="spellEnd"/>
      <w:r w:rsidR="006C291A">
        <w:rPr>
          <w:lang w:val="en-US"/>
        </w:rPr>
        <w:t xml:space="preserve"> South, the </w:t>
      </w:r>
      <w:r w:rsidR="006713D2" w:rsidRPr="006713D2">
        <w:rPr>
          <w:lang w:val="en-US"/>
        </w:rPr>
        <w:t>CWSS12</w:t>
      </w:r>
      <w:r w:rsidR="006C291A">
        <w:rPr>
          <w:lang w:val="en-US"/>
        </w:rPr>
        <w:t xml:space="preserve"> suggests roughly a third of all new </w:t>
      </w:r>
      <w:r w:rsidR="008B3000">
        <w:rPr>
          <w:lang w:val="en-US"/>
        </w:rPr>
        <w:t xml:space="preserve">residential development </w:t>
      </w:r>
      <w:r w:rsidR="00670A38">
        <w:rPr>
          <w:lang w:val="en-US"/>
        </w:rPr>
        <w:t xml:space="preserve">for the open market </w:t>
      </w:r>
      <w:r w:rsidR="008B3000">
        <w:rPr>
          <w:lang w:val="en-US"/>
        </w:rPr>
        <w:t xml:space="preserve">should fall into these categories. Medium sized homes of three bedrooms (4-5 habitable rooms) should constitute 48.5% of all dwellings, and the balance of 18.2% should be apportioned to larger dwellings. </w:t>
      </w:r>
    </w:p>
    <w:p w:rsidR="00A258B5" w:rsidRDefault="00A258B5" w:rsidP="00A258B5">
      <w:pPr>
        <w:pStyle w:val="Caption"/>
      </w:pPr>
      <w:r>
        <w:lastRenderedPageBreak/>
        <w:t xml:space="preserve">Table </w:t>
      </w:r>
      <w:fldSimple w:instr=" SEQ Table \* ARABIC ">
        <w:r w:rsidR="00B25544">
          <w:rPr>
            <w:noProof/>
          </w:rPr>
          <w:t>17</w:t>
        </w:r>
      </w:fldSimple>
      <w:r>
        <w:t xml:space="preserve">: % </w:t>
      </w:r>
      <w:r w:rsidRPr="00BE11CF">
        <w:t xml:space="preserve">Estimated </w:t>
      </w:r>
      <w:r w:rsidR="00C22531">
        <w:t>s</w:t>
      </w:r>
      <w:r w:rsidRPr="00BE11CF">
        <w:t xml:space="preserve">ize of </w:t>
      </w:r>
      <w:r w:rsidR="00C22531">
        <w:t>d</w:t>
      </w:r>
      <w:r w:rsidRPr="00BE11CF">
        <w:t xml:space="preserve">wellings </w:t>
      </w:r>
      <w:r w:rsidR="00C22531">
        <w:t>r</w:t>
      </w:r>
      <w:r w:rsidRPr="00BE11CF">
        <w:t xml:space="preserve">equired 2011 to 2031 by </w:t>
      </w:r>
      <w:r w:rsidR="00C22531">
        <w:t>s</w:t>
      </w:r>
      <w:r w:rsidRPr="00BE11CF">
        <w:t>ub-</w:t>
      </w:r>
      <w:r w:rsidR="00C22531">
        <w:t>a</w:t>
      </w:r>
      <w:r w:rsidRPr="00BE11CF">
        <w:t>rea – Market Housing</w:t>
      </w:r>
    </w:p>
    <w:p w:rsidR="006C291A" w:rsidRDefault="006C291A" w:rsidP="006C291A">
      <w:pPr>
        <w:pStyle w:val="BodyText"/>
        <w:spacing w:after="0"/>
        <w:rPr>
          <w:bCs/>
          <w:iCs/>
          <w:color w:val="000000" w:themeColor="text1"/>
          <w:lang w:val="en-US"/>
        </w:rPr>
      </w:pPr>
      <w:r>
        <w:rPr>
          <w:bCs/>
          <w:iCs/>
          <w:noProof/>
          <w:color w:val="000000" w:themeColor="text1"/>
          <w:lang w:eastAsia="en-GB"/>
        </w:rPr>
        <w:drawing>
          <wp:inline distT="0" distB="0" distL="0" distR="0" wp14:anchorId="6E4D9C40" wp14:editId="32702CC0">
            <wp:extent cx="4976292" cy="49915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212.PNG"/>
                    <pic:cNvPicPr/>
                  </pic:nvPicPr>
                  <pic:blipFill>
                    <a:blip r:embed="rId24">
                      <a:extLst>
                        <a:ext uri="{28A0092B-C50C-407E-A947-70E740481C1C}">
                          <a14:useLocalDpi xmlns:a14="http://schemas.microsoft.com/office/drawing/2010/main" val="0"/>
                        </a:ext>
                      </a:extLst>
                    </a:blip>
                    <a:stretch>
                      <a:fillRect/>
                    </a:stretch>
                  </pic:blipFill>
                  <pic:spPr>
                    <a:xfrm>
                      <a:off x="0" y="0"/>
                      <a:ext cx="4976292" cy="4991533"/>
                    </a:xfrm>
                    <a:prstGeom prst="rect">
                      <a:avLst/>
                    </a:prstGeom>
                  </pic:spPr>
                </pic:pic>
              </a:graphicData>
            </a:graphic>
          </wp:inline>
        </w:drawing>
      </w:r>
      <w:r>
        <w:rPr>
          <w:bCs/>
          <w:iCs/>
          <w:color w:val="000000" w:themeColor="text1"/>
          <w:lang w:val="en-US"/>
        </w:rPr>
        <w:t xml:space="preserve"> </w:t>
      </w:r>
    </w:p>
    <w:p w:rsidR="006C291A" w:rsidRPr="006C291A" w:rsidRDefault="006C291A" w:rsidP="006C291A">
      <w:pPr>
        <w:pStyle w:val="BodyText"/>
        <w:spacing w:after="0"/>
        <w:rPr>
          <w:bCs/>
          <w:i/>
          <w:iCs/>
          <w:color w:val="000000" w:themeColor="text1"/>
          <w:lang w:val="en-US"/>
        </w:rPr>
      </w:pPr>
      <w:r w:rsidRPr="006C291A">
        <w:rPr>
          <w:bCs/>
          <w:i/>
          <w:iCs/>
          <w:color w:val="000000" w:themeColor="text1"/>
          <w:lang w:val="en-US"/>
        </w:rPr>
        <w:t>Source: SHMA Housing Market Model</w:t>
      </w:r>
    </w:p>
    <w:p w:rsidR="006C291A" w:rsidRDefault="006C291A" w:rsidP="006C291A">
      <w:pPr>
        <w:pStyle w:val="BodyText"/>
        <w:spacing w:after="0"/>
        <w:rPr>
          <w:bCs/>
          <w:iCs/>
          <w:color w:val="000000" w:themeColor="text1"/>
          <w:lang w:val="en-US"/>
        </w:rPr>
      </w:pPr>
    </w:p>
    <w:p w:rsidR="00440F0C" w:rsidRDefault="00440F0C" w:rsidP="00A258B5">
      <w:pPr>
        <w:pStyle w:val="ListNumber"/>
        <w:rPr>
          <w:lang w:val="en-US"/>
        </w:rPr>
      </w:pPr>
      <w:r>
        <w:rPr>
          <w:lang w:val="en-US"/>
        </w:rPr>
        <w:t xml:space="preserve">For affordable homes, the </w:t>
      </w:r>
      <w:r w:rsidR="006713D2" w:rsidRPr="006713D2">
        <w:rPr>
          <w:lang w:val="en-US"/>
        </w:rPr>
        <w:t>CWSS12</w:t>
      </w:r>
      <w:r w:rsidR="006713D2">
        <w:rPr>
          <w:lang w:val="en-US"/>
        </w:rPr>
        <w:t xml:space="preserve"> </w:t>
      </w:r>
      <w:r>
        <w:rPr>
          <w:lang w:val="en-US"/>
        </w:rPr>
        <w:t xml:space="preserve">suggests a larger proportion should be concentrated at the smaller end of the scale, </w:t>
      </w:r>
      <w:r w:rsidR="00D03D54">
        <w:rPr>
          <w:lang w:val="en-US"/>
        </w:rPr>
        <w:t xml:space="preserve">with 66.8% of all new AH dwellings being 1-3 habitable rooms in size. 30.1% of medium </w:t>
      </w:r>
      <w:proofErr w:type="gramStart"/>
      <w:r w:rsidR="00D03D54">
        <w:rPr>
          <w:lang w:val="en-US"/>
        </w:rPr>
        <w:t>size,</w:t>
      </w:r>
      <w:proofErr w:type="gramEnd"/>
      <w:r w:rsidR="00D03D54">
        <w:rPr>
          <w:lang w:val="en-US"/>
        </w:rPr>
        <w:t xml:space="preserve"> and only 3% of larger size. </w:t>
      </w:r>
    </w:p>
    <w:p w:rsidR="00D03D54" w:rsidRDefault="00D03D54" w:rsidP="006C291A">
      <w:pPr>
        <w:pStyle w:val="BodyText"/>
        <w:spacing w:after="0"/>
        <w:rPr>
          <w:bCs/>
          <w:iCs/>
          <w:color w:val="000000" w:themeColor="text1"/>
          <w:lang w:val="en-US"/>
        </w:rPr>
      </w:pPr>
    </w:p>
    <w:p w:rsidR="00A258B5" w:rsidRDefault="00A258B5" w:rsidP="00A258B5">
      <w:pPr>
        <w:pStyle w:val="Caption"/>
      </w:pPr>
      <w:r>
        <w:lastRenderedPageBreak/>
        <w:t xml:space="preserve">Table </w:t>
      </w:r>
      <w:fldSimple w:instr=" SEQ Table \* ARABIC ">
        <w:r w:rsidR="00B25544">
          <w:rPr>
            <w:noProof/>
          </w:rPr>
          <w:t>18</w:t>
        </w:r>
      </w:fldSimple>
      <w:r>
        <w:t xml:space="preserve">: </w:t>
      </w:r>
      <w:r w:rsidRPr="003C45C6">
        <w:t xml:space="preserve">Estimated </w:t>
      </w:r>
      <w:r w:rsidR="00C22531">
        <w:t>s</w:t>
      </w:r>
      <w:r w:rsidRPr="003C45C6">
        <w:t xml:space="preserve">ize of </w:t>
      </w:r>
      <w:r w:rsidR="00C22531">
        <w:t>d</w:t>
      </w:r>
      <w:r w:rsidRPr="003C45C6">
        <w:t xml:space="preserve">wellings </w:t>
      </w:r>
      <w:r w:rsidR="00C22531">
        <w:t>r</w:t>
      </w:r>
      <w:r w:rsidRPr="003C45C6">
        <w:t xml:space="preserve">equired 2011 to 2031 by </w:t>
      </w:r>
      <w:r w:rsidR="00C22531">
        <w:t>s</w:t>
      </w:r>
      <w:r w:rsidRPr="003C45C6">
        <w:t>ub-</w:t>
      </w:r>
      <w:r w:rsidR="00C22531">
        <w:t>a</w:t>
      </w:r>
      <w:r w:rsidRPr="003C45C6">
        <w:t xml:space="preserve">rea – </w:t>
      </w:r>
      <w:r w:rsidR="00C22531">
        <w:t>a</w:t>
      </w:r>
      <w:r w:rsidRPr="003C45C6">
        <w:t xml:space="preserve">ffordable </w:t>
      </w:r>
      <w:r w:rsidR="00C22531">
        <w:t>h</w:t>
      </w:r>
      <w:r w:rsidRPr="003C45C6">
        <w:t>ousing</w:t>
      </w:r>
    </w:p>
    <w:p w:rsidR="00792AAF" w:rsidRPr="00BF22EF" w:rsidRDefault="00A556A4" w:rsidP="006C291A">
      <w:pPr>
        <w:pStyle w:val="BodyText"/>
        <w:spacing w:after="0"/>
        <w:rPr>
          <w:bCs/>
          <w:iCs/>
          <w:color w:val="000000" w:themeColor="text1"/>
          <w:lang w:val="en-US"/>
        </w:rPr>
      </w:pPr>
      <w:r>
        <w:rPr>
          <w:bCs/>
          <w:iCs/>
          <w:noProof/>
          <w:color w:val="000000" w:themeColor="text1"/>
          <w:lang w:eastAsia="en-GB"/>
        </w:rPr>
        <w:drawing>
          <wp:inline distT="0" distB="0" distL="0" distR="0" wp14:anchorId="14719200" wp14:editId="63FAD214">
            <wp:extent cx="4945809" cy="5060119"/>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fig 211.PNG"/>
                    <pic:cNvPicPr/>
                  </pic:nvPicPr>
                  <pic:blipFill>
                    <a:blip r:embed="rId25">
                      <a:extLst>
                        <a:ext uri="{28A0092B-C50C-407E-A947-70E740481C1C}">
                          <a14:useLocalDpi xmlns:a14="http://schemas.microsoft.com/office/drawing/2010/main" val="0"/>
                        </a:ext>
                      </a:extLst>
                    </a:blip>
                    <a:stretch>
                      <a:fillRect/>
                    </a:stretch>
                  </pic:blipFill>
                  <pic:spPr>
                    <a:xfrm>
                      <a:off x="0" y="0"/>
                      <a:ext cx="4945809" cy="5060119"/>
                    </a:xfrm>
                    <a:prstGeom prst="rect">
                      <a:avLst/>
                    </a:prstGeom>
                  </pic:spPr>
                </pic:pic>
              </a:graphicData>
            </a:graphic>
          </wp:inline>
        </w:drawing>
      </w:r>
    </w:p>
    <w:p w:rsidR="006C291A" w:rsidRPr="006C291A" w:rsidRDefault="006C291A" w:rsidP="006C291A">
      <w:pPr>
        <w:pStyle w:val="BodyText"/>
        <w:spacing w:after="0"/>
        <w:rPr>
          <w:bCs/>
          <w:i/>
          <w:iCs/>
          <w:color w:val="000000" w:themeColor="text1"/>
          <w:lang w:val="en-US"/>
        </w:rPr>
      </w:pPr>
      <w:r w:rsidRPr="006C291A">
        <w:rPr>
          <w:bCs/>
          <w:i/>
          <w:iCs/>
          <w:color w:val="000000" w:themeColor="text1"/>
          <w:lang w:val="en-US"/>
        </w:rPr>
        <w:t>Source: SHMA Housing Market Model</w:t>
      </w:r>
    </w:p>
    <w:p w:rsidR="00BF22EF" w:rsidRDefault="00BF22EF" w:rsidP="00B90B1C">
      <w:pPr>
        <w:pStyle w:val="BodyText"/>
        <w:rPr>
          <w:bCs/>
          <w:iCs/>
          <w:color w:val="000000" w:themeColor="text1"/>
          <w:lang w:val="en-US"/>
        </w:rPr>
      </w:pPr>
    </w:p>
    <w:p w:rsidR="00A258B5" w:rsidRDefault="00A258B5">
      <w:pPr>
        <w:tabs>
          <w:tab w:val="clear" w:pos="284"/>
        </w:tabs>
        <w:spacing w:line="240" w:lineRule="auto"/>
        <w:rPr>
          <w:bCs/>
          <w:iCs/>
          <w:color w:val="FF0000"/>
          <w:lang w:val="en-US"/>
        </w:rPr>
      </w:pPr>
      <w:r>
        <w:rPr>
          <w:bCs/>
          <w:iCs/>
          <w:color w:val="FF0000"/>
          <w:lang w:val="en-US"/>
        </w:rPr>
        <w:br w:type="page"/>
      </w:r>
    </w:p>
    <w:p w:rsidR="006D0802" w:rsidRPr="006D0802" w:rsidRDefault="006D0802" w:rsidP="00B90B1C">
      <w:pPr>
        <w:pStyle w:val="BodyText"/>
        <w:rPr>
          <w:bCs/>
          <w:iCs/>
          <w:color w:val="FF0000"/>
          <w:lang w:val="en-US"/>
        </w:rPr>
      </w:pPr>
    </w:p>
    <w:p w:rsidR="0038796B" w:rsidRDefault="0021554C" w:rsidP="00A258B5">
      <w:pPr>
        <w:pStyle w:val="Heading1"/>
        <w:rPr>
          <w:lang w:val="en-US"/>
        </w:rPr>
      </w:pPr>
      <w:bookmarkStart w:id="114" w:name="_Toc504464745"/>
      <w:r w:rsidRPr="0021554C">
        <w:rPr>
          <w:lang w:val="en-US"/>
        </w:rPr>
        <w:t xml:space="preserve">RQ4: </w:t>
      </w:r>
      <w:bookmarkStart w:id="115" w:name="_Toc488669510"/>
      <w:r w:rsidR="0038796B" w:rsidRPr="0038796B">
        <w:rPr>
          <w:lang w:val="en-US"/>
        </w:rPr>
        <w:t>What provision should be made for specialist housing within the NPA?</w:t>
      </w:r>
      <w:bookmarkEnd w:id="114"/>
    </w:p>
    <w:p w:rsidR="0021554C" w:rsidRPr="00A258B5" w:rsidRDefault="0021554C" w:rsidP="00A258B5">
      <w:pPr>
        <w:pStyle w:val="Heading2"/>
        <w:rPr>
          <w:rFonts w:eastAsia="Calibri"/>
        </w:rPr>
      </w:pPr>
      <w:bookmarkStart w:id="116" w:name="_Toc504464746"/>
      <w:r w:rsidRPr="000C35A2">
        <w:rPr>
          <w:rFonts w:eastAsia="Calibri"/>
        </w:rPr>
        <w:t>Sheltered and extra-care housing</w:t>
      </w:r>
      <w:bookmarkEnd w:id="115"/>
      <w:bookmarkEnd w:id="116"/>
    </w:p>
    <w:p w:rsidR="0021554C" w:rsidRDefault="0021554C" w:rsidP="00A258B5">
      <w:pPr>
        <w:pStyle w:val="ListNumber"/>
      </w:pPr>
      <w:r w:rsidRPr="002B4E1A">
        <w:rPr>
          <w:rFonts w:eastAsia="Calibri"/>
        </w:rPr>
        <w:t xml:space="preserve">As we have seen, given the significant forecast increases in people aged 75+, it is </w:t>
      </w:r>
      <w:r w:rsidRPr="002B4E1A">
        <w:t>appropriate for policy to provide support for a significant quantum of sheltered</w:t>
      </w:r>
      <w:r w:rsidRPr="002B4E1A">
        <w:rPr>
          <w:rFonts w:eastAsia="Calibri"/>
          <w:vertAlign w:val="superscript"/>
        </w:rPr>
        <w:footnoteReference w:id="26"/>
      </w:r>
      <w:r w:rsidRPr="002B4E1A">
        <w:t xml:space="preserve"> and extra care</w:t>
      </w:r>
      <w:r w:rsidRPr="002B4E1A">
        <w:rPr>
          <w:rFonts w:eastAsia="Calibri"/>
          <w:vertAlign w:val="superscript"/>
        </w:rPr>
        <w:footnoteReference w:id="27"/>
      </w:r>
      <w:r w:rsidRPr="002B4E1A">
        <w:t xml:space="preserve"> housing as part of the delivery of new ho</w:t>
      </w:r>
      <w:r>
        <w:t xml:space="preserve">using. Table </w:t>
      </w:r>
      <w:r w:rsidR="00A258B5">
        <w:t>19</w:t>
      </w:r>
      <w:r w:rsidRPr="002B4E1A">
        <w:t xml:space="preserve"> below identifies the growth in the population of o</w:t>
      </w:r>
      <w:r>
        <w:t xml:space="preserve">ver 75s between 2011 and 2031. </w:t>
      </w:r>
    </w:p>
    <w:p w:rsidR="0021554C" w:rsidRDefault="0021554C" w:rsidP="0021554C">
      <w:pPr>
        <w:pStyle w:val="Caption"/>
      </w:pPr>
      <w:bookmarkStart w:id="117" w:name="_Toc487535550"/>
      <w:bookmarkStart w:id="118" w:name="_Toc488669615"/>
      <w:r>
        <w:t xml:space="preserve">Table </w:t>
      </w:r>
      <w:fldSimple w:instr=" SEQ Table \* ARABIC ">
        <w:r w:rsidR="00B25544">
          <w:rPr>
            <w:noProof/>
          </w:rPr>
          <w:t>19</w:t>
        </w:r>
      </w:fldSimple>
      <w:r>
        <w:t xml:space="preserve">: </w:t>
      </w:r>
      <w:r w:rsidRPr="00AA7EA8">
        <w:t xml:space="preserve"> Change in the population of over 75s between 2011 and 2031</w:t>
      </w:r>
      <w:bookmarkEnd w:id="117"/>
      <w:bookmarkEnd w:id="118"/>
    </w:p>
    <w:tbl>
      <w:tblPr>
        <w:tblStyle w:val="TableGrid"/>
        <w:tblW w:w="9800" w:type="dxa"/>
        <w:tblLook w:val="04A0" w:firstRow="1" w:lastRow="0" w:firstColumn="1" w:lastColumn="0" w:noHBand="0" w:noVBand="1"/>
      </w:tblPr>
      <w:tblGrid>
        <w:gridCol w:w="1050"/>
        <w:gridCol w:w="1490"/>
        <w:gridCol w:w="1580"/>
        <w:gridCol w:w="1380"/>
        <w:gridCol w:w="1540"/>
        <w:gridCol w:w="1380"/>
        <w:gridCol w:w="1380"/>
      </w:tblGrid>
      <w:tr w:rsidR="0021554C" w:rsidRPr="006574F8" w:rsidTr="009A6EC1">
        <w:trPr>
          <w:cnfStyle w:val="100000000000" w:firstRow="1" w:lastRow="0" w:firstColumn="0" w:lastColumn="0" w:oddVBand="0" w:evenVBand="0" w:oddHBand="0" w:evenHBand="0" w:firstRowFirstColumn="0" w:firstRowLastColumn="0" w:lastRowFirstColumn="0" w:lastRowLastColumn="0"/>
          <w:trHeight w:val="315"/>
        </w:trPr>
        <w:tc>
          <w:tcPr>
            <w:tcW w:w="1050" w:type="dxa"/>
            <w:shd w:val="clear" w:color="auto" w:fill="000000" w:themeFill="text1"/>
            <w:noWrap/>
            <w:hideMark/>
          </w:tcPr>
          <w:p w:rsidR="0021554C" w:rsidRPr="00B15618" w:rsidRDefault="0021554C" w:rsidP="009A6EC1">
            <w:pPr>
              <w:rPr>
                <w:rFonts w:eastAsia="Times New Roman" w:cstheme="majorHAnsi"/>
                <w:color w:val="FFFFFF" w:themeColor="background1"/>
                <w:sz w:val="18"/>
                <w:lang w:eastAsia="en-GB"/>
              </w:rPr>
            </w:pPr>
            <w:r w:rsidRPr="00B15618">
              <w:rPr>
                <w:rFonts w:eastAsia="Times New Roman" w:cstheme="majorHAnsi"/>
                <w:color w:val="FFFFFF" w:themeColor="background1"/>
                <w:sz w:val="18"/>
                <w:lang w:eastAsia="en-GB"/>
              </w:rPr>
              <w:t>Age band</w:t>
            </w:r>
          </w:p>
        </w:tc>
        <w:tc>
          <w:tcPr>
            <w:tcW w:w="4450" w:type="dxa"/>
            <w:gridSpan w:val="3"/>
            <w:shd w:val="clear" w:color="auto" w:fill="000000" w:themeFill="text1"/>
            <w:noWrap/>
            <w:hideMark/>
          </w:tcPr>
          <w:p w:rsidR="0021554C" w:rsidRPr="00B15618" w:rsidRDefault="0021554C" w:rsidP="00382CB9">
            <w:pPr>
              <w:jc w:val="center"/>
              <w:rPr>
                <w:rFonts w:eastAsia="Times New Roman" w:cstheme="majorHAnsi"/>
                <w:color w:val="FFFFFF" w:themeColor="background1"/>
                <w:sz w:val="18"/>
                <w:lang w:eastAsia="en-GB"/>
              </w:rPr>
            </w:pPr>
            <w:r w:rsidRPr="00B15618">
              <w:rPr>
                <w:rFonts w:eastAsia="Times New Roman" w:cstheme="majorHAnsi"/>
                <w:color w:val="FFFFFF" w:themeColor="background1"/>
                <w:sz w:val="18"/>
                <w:lang w:eastAsia="en-GB"/>
              </w:rPr>
              <w:t>201</w:t>
            </w:r>
            <w:r w:rsidR="00382CB9">
              <w:rPr>
                <w:rFonts w:eastAsia="Times New Roman" w:cstheme="majorHAnsi"/>
                <w:color w:val="FFFFFF" w:themeColor="background1"/>
                <w:sz w:val="18"/>
                <w:lang w:eastAsia="en-GB"/>
              </w:rPr>
              <w:t>1</w:t>
            </w:r>
          </w:p>
        </w:tc>
        <w:tc>
          <w:tcPr>
            <w:tcW w:w="4300" w:type="dxa"/>
            <w:gridSpan w:val="3"/>
            <w:shd w:val="clear" w:color="auto" w:fill="000000" w:themeFill="text1"/>
            <w:noWrap/>
            <w:hideMark/>
          </w:tcPr>
          <w:p w:rsidR="0021554C" w:rsidRPr="00B15618" w:rsidRDefault="0021554C" w:rsidP="0021554C">
            <w:pPr>
              <w:jc w:val="center"/>
              <w:rPr>
                <w:rFonts w:eastAsia="Times New Roman" w:cstheme="majorHAnsi"/>
                <w:color w:val="FFFFFF" w:themeColor="background1"/>
                <w:sz w:val="18"/>
                <w:lang w:eastAsia="en-GB"/>
              </w:rPr>
            </w:pPr>
            <w:r w:rsidRPr="00B15618">
              <w:rPr>
                <w:rFonts w:eastAsia="Times New Roman" w:cstheme="majorHAnsi"/>
                <w:color w:val="FFFFFF" w:themeColor="background1"/>
                <w:sz w:val="18"/>
                <w:lang w:eastAsia="en-GB"/>
              </w:rPr>
              <w:t>20</w:t>
            </w:r>
            <w:r w:rsidR="00382CB9">
              <w:rPr>
                <w:rFonts w:eastAsia="Times New Roman" w:cstheme="majorHAnsi"/>
                <w:color w:val="FFFFFF" w:themeColor="background1"/>
                <w:sz w:val="18"/>
                <w:lang w:eastAsia="en-GB"/>
              </w:rPr>
              <w:t>33</w:t>
            </w:r>
          </w:p>
        </w:tc>
      </w:tr>
      <w:tr w:rsidR="0021554C" w:rsidRPr="006574F8" w:rsidTr="009A6EC1">
        <w:trPr>
          <w:trHeight w:val="915"/>
        </w:trPr>
        <w:tc>
          <w:tcPr>
            <w:tcW w:w="1050" w:type="dxa"/>
            <w:shd w:val="clear" w:color="auto" w:fill="BFBFBF" w:themeFill="background1" w:themeFillShade="BF"/>
            <w:noWrap/>
            <w:vAlign w:val="bottom"/>
            <w:hideMark/>
          </w:tcPr>
          <w:p w:rsidR="0021554C" w:rsidRPr="00091930" w:rsidRDefault="0021554C" w:rsidP="009A6EC1">
            <w:pPr>
              <w:tabs>
                <w:tab w:val="clear" w:pos="284"/>
              </w:tabs>
              <w:spacing w:line="240" w:lineRule="auto"/>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w:t>
            </w:r>
          </w:p>
        </w:tc>
        <w:tc>
          <w:tcPr>
            <w:tcW w:w="1490" w:type="dxa"/>
            <w:shd w:val="clear" w:color="auto" w:fill="BFBFBF" w:themeFill="background1" w:themeFillShade="BF"/>
            <w:vAlign w:val="bottom"/>
            <w:hideMark/>
          </w:tcPr>
          <w:p w:rsidR="0021554C" w:rsidRPr="00091930" w:rsidRDefault="0021554C" w:rsidP="00DC7A83">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xml:space="preserve">Population </w:t>
            </w:r>
            <w:r w:rsidR="00DC7A83">
              <w:rPr>
                <w:rFonts w:ascii="Arial" w:eastAsia="Times New Roman" w:hAnsi="Arial" w:cs="Arial"/>
                <w:color w:val="000000"/>
                <w:kern w:val="0"/>
                <w:sz w:val="18"/>
                <w:lang w:eastAsia="en-GB"/>
              </w:rPr>
              <w:t xml:space="preserve">West </w:t>
            </w:r>
            <w:proofErr w:type="spellStart"/>
            <w:r w:rsidR="00DC7A83">
              <w:rPr>
                <w:rFonts w:ascii="Arial" w:eastAsia="Times New Roman" w:hAnsi="Arial" w:cs="Arial"/>
                <w:color w:val="000000"/>
                <w:kern w:val="0"/>
                <w:sz w:val="18"/>
                <w:lang w:eastAsia="en-GB"/>
              </w:rPr>
              <w:t>Whittering</w:t>
            </w:r>
            <w:proofErr w:type="spellEnd"/>
          </w:p>
        </w:tc>
        <w:tc>
          <w:tcPr>
            <w:tcW w:w="1580" w:type="dxa"/>
            <w:shd w:val="clear" w:color="auto" w:fill="BFBFBF" w:themeFill="background1" w:themeFillShade="BF"/>
            <w:vAlign w:val="bottom"/>
            <w:hideMark/>
          </w:tcPr>
          <w:p w:rsidR="0021554C" w:rsidRPr="00091930" w:rsidRDefault="0021554C" w:rsidP="00DC7A83">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xml:space="preserve">Population </w:t>
            </w:r>
            <w:r w:rsidR="00DC7A83">
              <w:rPr>
                <w:rFonts w:ascii="Arial" w:eastAsia="Times New Roman" w:hAnsi="Arial" w:cs="Arial"/>
                <w:color w:val="000000"/>
                <w:kern w:val="0"/>
                <w:sz w:val="18"/>
                <w:lang w:eastAsia="en-GB"/>
              </w:rPr>
              <w:t>Chichester</w:t>
            </w:r>
          </w:p>
        </w:tc>
        <w:tc>
          <w:tcPr>
            <w:tcW w:w="1380" w:type="dxa"/>
            <w:shd w:val="clear" w:color="auto" w:fill="BFBFBF" w:themeFill="background1" w:themeFillShade="BF"/>
            <w:vAlign w:val="bottom"/>
            <w:hideMark/>
          </w:tcPr>
          <w:p w:rsidR="0021554C" w:rsidRPr="00091930" w:rsidRDefault="0021554C" w:rsidP="009A6EC1">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Percentage of population</w:t>
            </w:r>
          </w:p>
        </w:tc>
        <w:tc>
          <w:tcPr>
            <w:tcW w:w="1540" w:type="dxa"/>
            <w:shd w:val="clear" w:color="auto" w:fill="BFBFBF" w:themeFill="background1" w:themeFillShade="BF"/>
            <w:vAlign w:val="bottom"/>
            <w:hideMark/>
          </w:tcPr>
          <w:p w:rsidR="0021554C" w:rsidRPr="00091930" w:rsidRDefault="0021554C" w:rsidP="0021554C">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xml:space="preserve">Population </w:t>
            </w:r>
            <w:r w:rsidR="00DC7A83">
              <w:rPr>
                <w:rFonts w:ascii="Arial" w:eastAsia="Times New Roman" w:hAnsi="Arial" w:cs="Arial"/>
                <w:color w:val="000000"/>
                <w:kern w:val="0"/>
                <w:sz w:val="18"/>
                <w:lang w:eastAsia="en-GB"/>
              </w:rPr>
              <w:t>Chichester</w:t>
            </w:r>
          </w:p>
        </w:tc>
        <w:tc>
          <w:tcPr>
            <w:tcW w:w="1380" w:type="dxa"/>
            <w:shd w:val="clear" w:color="auto" w:fill="BFBFBF" w:themeFill="background1" w:themeFillShade="BF"/>
            <w:vAlign w:val="bottom"/>
            <w:hideMark/>
          </w:tcPr>
          <w:p w:rsidR="0021554C" w:rsidRPr="00091930" w:rsidRDefault="0021554C" w:rsidP="0021554C">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xml:space="preserve">Population </w:t>
            </w:r>
            <w:r w:rsidR="00DC7A83">
              <w:rPr>
                <w:rFonts w:ascii="Arial" w:eastAsia="Times New Roman" w:hAnsi="Arial" w:cs="Arial"/>
                <w:color w:val="000000"/>
                <w:kern w:val="0"/>
                <w:sz w:val="18"/>
                <w:lang w:eastAsia="en-GB"/>
              </w:rPr>
              <w:t xml:space="preserve">West </w:t>
            </w:r>
            <w:proofErr w:type="spellStart"/>
            <w:r w:rsidR="00DC7A83">
              <w:rPr>
                <w:rFonts w:ascii="Arial" w:eastAsia="Times New Roman" w:hAnsi="Arial" w:cs="Arial"/>
                <w:color w:val="000000"/>
                <w:kern w:val="0"/>
                <w:sz w:val="18"/>
                <w:lang w:eastAsia="en-GB"/>
              </w:rPr>
              <w:t>Whittering</w:t>
            </w:r>
            <w:proofErr w:type="spellEnd"/>
            <w:r w:rsidRPr="00091930">
              <w:rPr>
                <w:rFonts w:ascii="Arial" w:eastAsia="Times New Roman" w:hAnsi="Arial" w:cs="Arial"/>
                <w:color w:val="000000"/>
                <w:kern w:val="0"/>
                <w:sz w:val="18"/>
                <w:lang w:eastAsia="en-GB"/>
              </w:rPr>
              <w:t>)</w:t>
            </w:r>
          </w:p>
        </w:tc>
        <w:tc>
          <w:tcPr>
            <w:tcW w:w="1380" w:type="dxa"/>
            <w:shd w:val="clear" w:color="auto" w:fill="BFBFBF" w:themeFill="background1" w:themeFillShade="BF"/>
            <w:vAlign w:val="bottom"/>
            <w:hideMark/>
          </w:tcPr>
          <w:p w:rsidR="0021554C" w:rsidRPr="00091930" w:rsidRDefault="0021554C" w:rsidP="0021554C">
            <w:pPr>
              <w:tabs>
                <w:tab w:val="clear" w:pos="284"/>
              </w:tabs>
              <w:spacing w:line="240" w:lineRule="auto"/>
              <w:jc w:val="right"/>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 xml:space="preserve">Projected 75+ population </w:t>
            </w:r>
            <w:r w:rsidR="00DC7A83">
              <w:rPr>
                <w:rFonts w:ascii="Arial" w:eastAsia="Times New Roman" w:hAnsi="Arial" w:cs="Arial"/>
                <w:color w:val="000000"/>
                <w:kern w:val="0"/>
                <w:sz w:val="18"/>
                <w:lang w:eastAsia="en-GB"/>
              </w:rPr>
              <w:t>Chichester</w:t>
            </w:r>
          </w:p>
        </w:tc>
      </w:tr>
      <w:tr w:rsidR="0021554C" w:rsidRPr="006574F8" w:rsidTr="0021554C">
        <w:trPr>
          <w:trHeight w:val="300"/>
        </w:trPr>
        <w:tc>
          <w:tcPr>
            <w:tcW w:w="1050" w:type="dxa"/>
            <w:shd w:val="clear" w:color="auto" w:fill="BFBFBF" w:themeFill="background1" w:themeFillShade="BF"/>
            <w:noWrap/>
            <w:vAlign w:val="bottom"/>
            <w:hideMark/>
          </w:tcPr>
          <w:p w:rsidR="0021554C" w:rsidRPr="00091930" w:rsidRDefault="0021554C" w:rsidP="009A6EC1">
            <w:pPr>
              <w:tabs>
                <w:tab w:val="clear" w:pos="284"/>
              </w:tabs>
              <w:spacing w:line="240" w:lineRule="auto"/>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All ages</w:t>
            </w:r>
          </w:p>
        </w:tc>
        <w:tc>
          <w:tcPr>
            <w:tcW w:w="149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2,700</w:t>
            </w:r>
          </w:p>
        </w:tc>
        <w:tc>
          <w:tcPr>
            <w:tcW w:w="158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113,794</w:t>
            </w:r>
          </w:p>
        </w:tc>
        <w:tc>
          <w:tcPr>
            <w:tcW w:w="138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2.37%</w:t>
            </w:r>
          </w:p>
        </w:tc>
        <w:tc>
          <w:tcPr>
            <w:tcW w:w="154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131,099</w:t>
            </w:r>
          </w:p>
        </w:tc>
        <w:tc>
          <w:tcPr>
            <w:tcW w:w="138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3107</w:t>
            </w:r>
          </w:p>
        </w:tc>
        <w:tc>
          <w:tcPr>
            <w:tcW w:w="1380" w:type="dxa"/>
            <w:noWrap/>
            <w:vAlign w:val="bottom"/>
          </w:tcPr>
          <w:p w:rsidR="0021554C" w:rsidRPr="00091930" w:rsidRDefault="0021554C" w:rsidP="009A6EC1">
            <w:pPr>
              <w:tabs>
                <w:tab w:val="clear" w:pos="284"/>
              </w:tabs>
              <w:spacing w:line="240" w:lineRule="auto"/>
              <w:rPr>
                <w:rFonts w:ascii="Arial" w:eastAsia="Times New Roman" w:hAnsi="Arial" w:cs="Arial"/>
                <w:color w:val="000000"/>
                <w:kern w:val="0"/>
                <w:sz w:val="18"/>
                <w:lang w:eastAsia="en-GB"/>
              </w:rPr>
            </w:pPr>
          </w:p>
        </w:tc>
      </w:tr>
      <w:tr w:rsidR="0021554C" w:rsidRPr="006574F8" w:rsidTr="0021554C">
        <w:trPr>
          <w:trHeight w:val="315"/>
        </w:trPr>
        <w:tc>
          <w:tcPr>
            <w:tcW w:w="1050" w:type="dxa"/>
            <w:shd w:val="clear" w:color="auto" w:fill="BFBFBF" w:themeFill="background1" w:themeFillShade="BF"/>
            <w:noWrap/>
            <w:vAlign w:val="bottom"/>
            <w:hideMark/>
          </w:tcPr>
          <w:p w:rsidR="0021554C" w:rsidRPr="00091930" w:rsidRDefault="0021554C" w:rsidP="009A6EC1">
            <w:pPr>
              <w:tabs>
                <w:tab w:val="clear" w:pos="284"/>
              </w:tabs>
              <w:spacing w:line="240" w:lineRule="auto"/>
              <w:rPr>
                <w:rFonts w:ascii="Arial" w:eastAsia="Times New Roman" w:hAnsi="Arial" w:cs="Arial"/>
                <w:color w:val="000000"/>
                <w:kern w:val="0"/>
                <w:sz w:val="18"/>
                <w:lang w:eastAsia="en-GB"/>
              </w:rPr>
            </w:pPr>
            <w:r w:rsidRPr="00091930">
              <w:rPr>
                <w:rFonts w:ascii="Arial" w:eastAsia="Times New Roman" w:hAnsi="Arial" w:cs="Arial"/>
                <w:color w:val="000000"/>
                <w:kern w:val="0"/>
                <w:sz w:val="18"/>
                <w:lang w:eastAsia="en-GB"/>
              </w:rPr>
              <w:t>75+</w:t>
            </w:r>
          </w:p>
        </w:tc>
        <w:tc>
          <w:tcPr>
            <w:tcW w:w="149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1,136</w:t>
            </w:r>
          </w:p>
        </w:tc>
        <w:tc>
          <w:tcPr>
            <w:tcW w:w="1580" w:type="dxa"/>
            <w:noWrap/>
            <w:vAlign w:val="bottom"/>
          </w:tcPr>
          <w:p w:rsidR="0021554C" w:rsidRPr="00091930" w:rsidRDefault="0021554C" w:rsidP="00382CB9">
            <w:pPr>
              <w:tabs>
                <w:tab w:val="clear" w:pos="284"/>
              </w:tabs>
              <w:spacing w:line="240" w:lineRule="auto"/>
              <w:jc w:val="right"/>
              <w:rPr>
                <w:rFonts w:ascii="Arial" w:eastAsia="Times New Roman" w:hAnsi="Arial" w:cs="Arial"/>
                <w:color w:val="000000"/>
                <w:kern w:val="0"/>
                <w:sz w:val="18"/>
                <w:lang w:eastAsia="en-GB"/>
              </w:rPr>
            </w:pPr>
          </w:p>
        </w:tc>
        <w:tc>
          <w:tcPr>
            <w:tcW w:w="138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42%</w:t>
            </w:r>
          </w:p>
        </w:tc>
        <w:tc>
          <w:tcPr>
            <w:tcW w:w="154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24,246</w:t>
            </w:r>
          </w:p>
        </w:tc>
        <w:tc>
          <w:tcPr>
            <w:tcW w:w="1380" w:type="dxa"/>
            <w:noWrap/>
            <w:vAlign w:val="bottom"/>
          </w:tcPr>
          <w:p w:rsidR="0021554C" w:rsidRPr="00091930" w:rsidRDefault="0021554C" w:rsidP="009A6EC1">
            <w:pPr>
              <w:tabs>
                <w:tab w:val="clear" w:pos="284"/>
              </w:tabs>
              <w:spacing w:line="240" w:lineRule="auto"/>
              <w:jc w:val="right"/>
              <w:rPr>
                <w:rFonts w:ascii="Arial" w:eastAsia="Times New Roman" w:hAnsi="Arial" w:cs="Arial"/>
                <w:color w:val="000000"/>
                <w:kern w:val="0"/>
                <w:sz w:val="18"/>
                <w:lang w:eastAsia="en-GB"/>
              </w:rPr>
            </w:pPr>
          </w:p>
        </w:tc>
        <w:tc>
          <w:tcPr>
            <w:tcW w:w="1380" w:type="dxa"/>
            <w:noWrap/>
            <w:vAlign w:val="bottom"/>
          </w:tcPr>
          <w:p w:rsidR="0021554C" w:rsidRPr="00091930" w:rsidRDefault="00382CB9" w:rsidP="009A6EC1">
            <w:pPr>
              <w:tabs>
                <w:tab w:val="clear" w:pos="284"/>
              </w:tabs>
              <w:spacing w:line="240" w:lineRule="auto"/>
              <w:jc w:val="right"/>
              <w:rPr>
                <w:rFonts w:ascii="Arial" w:eastAsia="Times New Roman" w:hAnsi="Arial" w:cs="Arial"/>
                <w:color w:val="000000"/>
                <w:kern w:val="0"/>
                <w:sz w:val="18"/>
                <w:lang w:eastAsia="en-GB"/>
              </w:rPr>
            </w:pPr>
            <w:r>
              <w:rPr>
                <w:rFonts w:ascii="Arial" w:eastAsia="Times New Roman" w:hAnsi="Arial" w:cs="Arial"/>
                <w:color w:val="000000"/>
                <w:kern w:val="0"/>
                <w:sz w:val="18"/>
                <w:lang w:eastAsia="en-GB"/>
              </w:rPr>
              <w:t>1305</w:t>
            </w:r>
          </w:p>
        </w:tc>
      </w:tr>
    </w:tbl>
    <w:p w:rsidR="0021554C" w:rsidRPr="00E57C48" w:rsidRDefault="0021554C" w:rsidP="00A258B5">
      <w:pPr>
        <w:pStyle w:val="Source"/>
      </w:pPr>
      <w:r w:rsidRPr="00E57C48">
        <w:t xml:space="preserve">Source: 2014-based Sub-national population projections, </w:t>
      </w:r>
      <w:r w:rsidR="00B25544">
        <w:t>MHCLG</w:t>
      </w:r>
      <w:r w:rsidRPr="00E57C48">
        <w:t xml:space="preserve"> and Census 2011 (ONS) AECOM calculations</w:t>
      </w:r>
    </w:p>
    <w:p w:rsidR="0021554C" w:rsidRPr="002B4E1A" w:rsidRDefault="0021554C" w:rsidP="0021554C">
      <w:pPr>
        <w:pStyle w:val="BodyText"/>
        <w:spacing w:after="0" w:line="276" w:lineRule="auto"/>
        <w:rPr>
          <w:rFonts w:ascii="Arial" w:eastAsia="Times New Roman" w:hAnsi="Arial" w:cs="Arial"/>
          <w:bCs/>
          <w:i/>
          <w:kern w:val="0"/>
        </w:rPr>
      </w:pPr>
    </w:p>
    <w:p w:rsidR="00150472" w:rsidRDefault="00150472" w:rsidP="00A258B5">
      <w:pPr>
        <w:pStyle w:val="ListNumber"/>
      </w:pPr>
      <w:r w:rsidRPr="009E69BA">
        <w:t>In arriving at an appropriate level of housing for older people of different types, we have applied the Housing Learning and Improvement Network’s suggested numbers per 1,000 of the 75+ population</w:t>
      </w:r>
      <w:r w:rsidR="00C22531">
        <w:t>.</w:t>
      </w:r>
      <w:r w:rsidRPr="00A56028">
        <w:rPr>
          <w:vertAlign w:val="superscript"/>
        </w:rPr>
        <w:footnoteReference w:id="28"/>
      </w:r>
      <w:r w:rsidRPr="009E69BA">
        <w:t xml:space="preserve"> </w:t>
      </w:r>
    </w:p>
    <w:p w:rsidR="00150472" w:rsidRDefault="00150472" w:rsidP="00A258B5">
      <w:pPr>
        <w:pStyle w:val="ListNumber"/>
      </w:pPr>
      <w:r>
        <w:t xml:space="preserve">The table above </w:t>
      </w:r>
      <w:r w:rsidRPr="009E69BA">
        <w:t xml:space="preserve">shows an estimate of the increase in the numbers of older people aged 75+ of </w:t>
      </w:r>
      <w:r>
        <w:t>169</w:t>
      </w:r>
      <w:r w:rsidR="00E72150">
        <w:t xml:space="preserve"> </w:t>
      </w:r>
      <w:r w:rsidRPr="009E69BA">
        <w:t>(</w:t>
      </w:r>
      <w:r>
        <w:t>1,305</w:t>
      </w:r>
      <w:r w:rsidRPr="009E69BA">
        <w:t>-</w:t>
      </w:r>
      <w:r>
        <w:t>1,136</w:t>
      </w:r>
      <w:r w:rsidRPr="009E69BA">
        <w:t xml:space="preserve">). </w:t>
      </w:r>
    </w:p>
    <w:p w:rsidR="00150472" w:rsidRDefault="00150472" w:rsidP="00A258B5">
      <w:pPr>
        <w:pStyle w:val="ListNumber"/>
      </w:pPr>
      <w:r>
        <w:t xml:space="preserve">The method we use to </w:t>
      </w:r>
      <w:proofErr w:type="gramStart"/>
      <w:r>
        <w:t>arrive</w:t>
      </w:r>
      <w:proofErr w:type="gramEnd"/>
      <w:r>
        <w:t xml:space="preserve"> this number can only be an estimate given that </w:t>
      </w:r>
      <w:r w:rsidR="00B25544">
        <w:t>MHCLG</w:t>
      </w:r>
      <w:r>
        <w:t xml:space="preserve"> population projections </w:t>
      </w:r>
      <w:r w:rsidRPr="0027058A">
        <w:rPr>
          <w:u w:val="single"/>
        </w:rPr>
        <w:t xml:space="preserve">do not provide data at the </w:t>
      </w:r>
      <w:r w:rsidR="005F5CF8">
        <w:rPr>
          <w:u w:val="single"/>
        </w:rPr>
        <w:t>Parish</w:t>
      </w:r>
      <w:r w:rsidRPr="0027058A">
        <w:rPr>
          <w:u w:val="single"/>
        </w:rPr>
        <w:t xml:space="preserve"> level</w:t>
      </w:r>
      <w:r>
        <w:t xml:space="preserve">. AECOM uses a four step method to arrive at the estimate:  </w:t>
      </w:r>
    </w:p>
    <w:p w:rsidR="00150472" w:rsidRDefault="00150472" w:rsidP="009144D7">
      <w:pPr>
        <w:pStyle w:val="ListBullet"/>
      </w:pPr>
      <w:r>
        <w:t>The population size for</w:t>
      </w:r>
      <w:r w:rsidR="00E72150">
        <w:t xml:space="preserve"> Chichester</w:t>
      </w:r>
      <w:r>
        <w:t xml:space="preserve"> </w:t>
      </w:r>
      <w:r w:rsidR="00E72150">
        <w:t>is taken</w:t>
      </w:r>
      <w:r>
        <w:t>;</w:t>
      </w:r>
    </w:p>
    <w:p w:rsidR="00150472" w:rsidRDefault="00150472" w:rsidP="009144D7">
      <w:pPr>
        <w:pStyle w:val="ListBullet"/>
      </w:pPr>
      <w:r>
        <w:t xml:space="preserve">We arrive at an estimate of the size of the total population in </w:t>
      </w:r>
      <w:r w:rsidR="00E72150">
        <w:t>West Wittering</w:t>
      </w:r>
      <w:r>
        <w:t xml:space="preserve"> at end of </w:t>
      </w:r>
      <w:r w:rsidR="000375DA">
        <w:t>Plan period</w:t>
      </w:r>
      <w:r>
        <w:t xml:space="preserve"> by </w:t>
      </w:r>
      <w:r w:rsidRPr="00A46C6C">
        <w:t xml:space="preserve">assuming it is the </w:t>
      </w:r>
      <w:r w:rsidRPr="00A46C6C">
        <w:rPr>
          <w:u w:val="single"/>
        </w:rPr>
        <w:t>same proportion</w:t>
      </w:r>
      <w:r w:rsidRPr="00A46C6C">
        <w:t xml:space="preserve"> of the </w:t>
      </w:r>
      <w:r w:rsidR="00E72150">
        <w:t>Chichester</w:t>
      </w:r>
      <w:r w:rsidRPr="00A46C6C">
        <w:t xml:space="preserve"> population as in 2011;</w:t>
      </w:r>
    </w:p>
    <w:p w:rsidR="00150472" w:rsidRDefault="00E72150" w:rsidP="009144D7">
      <w:pPr>
        <w:pStyle w:val="ListBullet"/>
      </w:pPr>
      <w:r>
        <w:t>T</w:t>
      </w:r>
      <w:r w:rsidR="00150472">
        <w:t xml:space="preserve">o arrive at an estimate of the 75+ population in </w:t>
      </w:r>
      <w:r>
        <w:t xml:space="preserve">West Wittering </w:t>
      </w:r>
      <w:r w:rsidR="00150472">
        <w:t xml:space="preserve">at the end of the </w:t>
      </w:r>
      <w:r w:rsidR="000375DA">
        <w:t>Plan period</w:t>
      </w:r>
      <w:r w:rsidR="00150472">
        <w:t xml:space="preserve">, we assume % in the NPA is </w:t>
      </w:r>
      <w:r>
        <w:t xml:space="preserve">the same as it was in 2011. </w:t>
      </w:r>
      <w:r w:rsidR="00150472">
        <w:t xml:space="preserve"> </w:t>
      </w:r>
    </w:p>
    <w:p w:rsidR="00150472" w:rsidRPr="00E72150" w:rsidRDefault="00E72150" w:rsidP="009144D7">
      <w:pPr>
        <w:pStyle w:val="ListBullet"/>
      </w:pPr>
      <w:r w:rsidRPr="00E72150">
        <w:t xml:space="preserve">Given the projected increase in the numbers of the older population, it is important to acknowledge this may under-estimate the numbers of elderly in 2033. </w:t>
      </w:r>
      <w:r>
        <w:t xml:space="preserve">The following data should therefore be treated as an estimate. </w:t>
      </w:r>
    </w:p>
    <w:p w:rsidR="00150472" w:rsidRPr="009E69BA" w:rsidRDefault="00E72150" w:rsidP="00A258B5">
      <w:pPr>
        <w:pStyle w:val="ListNumber"/>
      </w:pPr>
      <w:r>
        <w:lastRenderedPageBreak/>
        <w:t xml:space="preserve">Our </w:t>
      </w:r>
      <w:r w:rsidR="00150472">
        <w:t xml:space="preserve">method results </w:t>
      </w:r>
      <w:r>
        <w:t xml:space="preserve">in </w:t>
      </w:r>
      <w:r w:rsidR="00150472">
        <w:t>(using the housing LIN approach)</w:t>
      </w:r>
      <w:r w:rsidR="00150472" w:rsidRPr="009E69BA">
        <w:t xml:space="preserve">, over the </w:t>
      </w:r>
      <w:r w:rsidR="000375DA">
        <w:t>Plan period</w:t>
      </w:r>
      <w:r w:rsidR="00150472" w:rsidRPr="009E69BA">
        <w:t xml:space="preserve">, in a </w:t>
      </w:r>
      <w:r w:rsidR="005F5CF8">
        <w:t>Parish</w:t>
      </w:r>
      <w:r w:rsidR="00150472">
        <w:t xml:space="preserve"> </w:t>
      </w:r>
      <w:r w:rsidR="00150472" w:rsidRPr="009E69BA">
        <w:t xml:space="preserve">need for: </w:t>
      </w:r>
    </w:p>
    <w:p w:rsidR="0021554C" w:rsidRPr="002B4E1A"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conventional sheltered housing units = 60 x </w:t>
      </w:r>
      <w:r w:rsidR="00E72150">
        <w:rPr>
          <w:rFonts w:ascii="Arial" w:eastAsia="Times New Roman" w:hAnsi="Arial" w:cs="Arial"/>
          <w:bCs/>
          <w:iCs/>
          <w:kern w:val="0"/>
        </w:rPr>
        <w:t>16.9</w:t>
      </w:r>
      <w:r w:rsidRPr="002B4E1A">
        <w:rPr>
          <w:rFonts w:ascii="Arial" w:eastAsia="Times New Roman" w:hAnsi="Arial" w:cs="Arial"/>
          <w:bCs/>
          <w:iCs/>
          <w:kern w:val="0"/>
        </w:rPr>
        <w:t xml:space="preserve">% = </w:t>
      </w:r>
      <w:r w:rsidR="00E72150">
        <w:rPr>
          <w:rFonts w:ascii="Arial" w:eastAsia="Times New Roman" w:hAnsi="Arial" w:cs="Arial"/>
          <w:bCs/>
          <w:iCs/>
          <w:kern w:val="0"/>
        </w:rPr>
        <w:t>10</w:t>
      </w:r>
      <w:r w:rsidRPr="002B4E1A">
        <w:rPr>
          <w:rFonts w:ascii="Arial" w:eastAsia="Times New Roman" w:hAnsi="Arial" w:cs="Arial"/>
          <w:bCs/>
          <w:iCs/>
          <w:kern w:val="0"/>
        </w:rPr>
        <w:t xml:space="preserve"> (rounded)</w:t>
      </w:r>
    </w:p>
    <w:p w:rsidR="0021554C" w:rsidRPr="002B4E1A"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leasehold sheltered housing units = 120 x </w:t>
      </w:r>
      <w:r w:rsidR="00E72150">
        <w:rPr>
          <w:rFonts w:ascii="Arial" w:eastAsia="Times New Roman" w:hAnsi="Arial" w:cs="Arial"/>
          <w:bCs/>
          <w:iCs/>
          <w:kern w:val="0"/>
        </w:rPr>
        <w:t>16.9</w:t>
      </w:r>
      <w:r w:rsidRPr="002B4E1A">
        <w:rPr>
          <w:rFonts w:ascii="Arial" w:eastAsia="Times New Roman" w:hAnsi="Arial" w:cs="Arial"/>
          <w:bCs/>
          <w:iCs/>
          <w:kern w:val="0"/>
        </w:rPr>
        <w:t xml:space="preserve">% = </w:t>
      </w:r>
      <w:r w:rsidR="00E72150">
        <w:rPr>
          <w:rFonts w:ascii="Arial" w:eastAsia="Times New Roman" w:hAnsi="Arial" w:cs="Arial"/>
          <w:bCs/>
          <w:iCs/>
          <w:kern w:val="0"/>
        </w:rPr>
        <w:t>20</w:t>
      </w:r>
      <w:r w:rsidRPr="002B4E1A">
        <w:rPr>
          <w:rFonts w:ascii="Arial" w:eastAsia="Times New Roman" w:hAnsi="Arial" w:cs="Arial"/>
          <w:bCs/>
          <w:iCs/>
          <w:kern w:val="0"/>
        </w:rPr>
        <w:t xml:space="preserve"> (rounded)</w:t>
      </w:r>
    </w:p>
    <w:p w:rsidR="0021554C" w:rsidRPr="002B4E1A"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‘enhanced’ sheltered units, split 50:50 between those for rent and those for sale = 20 x </w:t>
      </w:r>
      <w:r w:rsidR="00E72150">
        <w:rPr>
          <w:rFonts w:ascii="Arial" w:eastAsia="Times New Roman" w:hAnsi="Arial" w:cs="Arial"/>
          <w:bCs/>
          <w:iCs/>
          <w:kern w:val="0"/>
        </w:rPr>
        <w:t>16.9</w:t>
      </w:r>
      <w:r w:rsidRPr="002B4E1A">
        <w:rPr>
          <w:rFonts w:ascii="Arial" w:eastAsia="Times New Roman" w:hAnsi="Arial" w:cs="Arial"/>
          <w:bCs/>
          <w:iCs/>
          <w:kern w:val="0"/>
        </w:rPr>
        <w:t>% =</w:t>
      </w:r>
      <w:r w:rsidR="00E72150">
        <w:rPr>
          <w:rFonts w:ascii="Arial" w:eastAsia="Times New Roman" w:hAnsi="Arial" w:cs="Arial"/>
          <w:bCs/>
          <w:iCs/>
          <w:kern w:val="0"/>
        </w:rPr>
        <w:t xml:space="preserve"> 4</w:t>
      </w:r>
      <w:r w:rsidRPr="002B4E1A">
        <w:rPr>
          <w:rFonts w:ascii="Arial" w:eastAsia="Times New Roman" w:hAnsi="Arial" w:cs="Arial"/>
          <w:bCs/>
          <w:iCs/>
          <w:kern w:val="0"/>
        </w:rPr>
        <w:t xml:space="preserve"> (rounded)</w:t>
      </w:r>
    </w:p>
    <w:p w:rsidR="0021554C" w:rsidRPr="002B4E1A"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extra care housing units for rent =15 x </w:t>
      </w:r>
      <w:r w:rsidR="00E72150">
        <w:rPr>
          <w:rFonts w:ascii="Arial" w:eastAsia="Times New Roman" w:hAnsi="Arial" w:cs="Arial"/>
          <w:bCs/>
          <w:iCs/>
          <w:kern w:val="0"/>
        </w:rPr>
        <w:t>16.9</w:t>
      </w:r>
      <w:r w:rsidRPr="002B4E1A">
        <w:rPr>
          <w:rFonts w:ascii="Arial" w:eastAsia="Times New Roman" w:hAnsi="Arial" w:cs="Arial"/>
          <w:bCs/>
          <w:iCs/>
          <w:kern w:val="0"/>
        </w:rPr>
        <w:t xml:space="preserve">% = </w:t>
      </w:r>
      <w:r w:rsidR="00E72150">
        <w:rPr>
          <w:rFonts w:ascii="Arial" w:eastAsia="Times New Roman" w:hAnsi="Arial" w:cs="Arial"/>
          <w:bCs/>
          <w:iCs/>
          <w:kern w:val="0"/>
        </w:rPr>
        <w:t xml:space="preserve">3 </w:t>
      </w:r>
      <w:r w:rsidRPr="002B4E1A">
        <w:rPr>
          <w:rFonts w:ascii="Arial" w:eastAsia="Times New Roman" w:hAnsi="Arial" w:cs="Arial"/>
          <w:bCs/>
          <w:iCs/>
          <w:kern w:val="0"/>
        </w:rPr>
        <w:t>(rounded)</w:t>
      </w:r>
    </w:p>
    <w:p w:rsidR="0021554C" w:rsidRPr="002B4E1A"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extra care housing units for sale = 30 x </w:t>
      </w:r>
      <w:r w:rsidR="00E72150">
        <w:rPr>
          <w:rFonts w:ascii="Arial" w:eastAsia="Times New Roman" w:hAnsi="Arial" w:cs="Arial"/>
          <w:bCs/>
          <w:iCs/>
          <w:kern w:val="0"/>
        </w:rPr>
        <w:t>16.9</w:t>
      </w:r>
      <w:r w:rsidRPr="002B4E1A">
        <w:rPr>
          <w:rFonts w:ascii="Arial" w:eastAsia="Times New Roman" w:hAnsi="Arial" w:cs="Arial"/>
          <w:bCs/>
          <w:iCs/>
          <w:kern w:val="0"/>
        </w:rPr>
        <w:t xml:space="preserve">% = </w:t>
      </w:r>
      <w:r w:rsidR="00E72150">
        <w:rPr>
          <w:rFonts w:ascii="Arial" w:eastAsia="Times New Roman" w:hAnsi="Arial" w:cs="Arial"/>
          <w:bCs/>
          <w:iCs/>
          <w:kern w:val="0"/>
        </w:rPr>
        <w:t xml:space="preserve">6 </w:t>
      </w:r>
      <w:r w:rsidRPr="002B4E1A">
        <w:rPr>
          <w:rFonts w:ascii="Arial" w:eastAsia="Times New Roman" w:hAnsi="Arial" w:cs="Arial"/>
          <w:bCs/>
          <w:iCs/>
          <w:kern w:val="0"/>
        </w:rPr>
        <w:t>(rounded)</w:t>
      </w:r>
    </w:p>
    <w:p w:rsidR="0021554C" w:rsidRDefault="0021554C" w:rsidP="0021554C">
      <w:pPr>
        <w:pStyle w:val="BodyText"/>
        <w:numPr>
          <w:ilvl w:val="0"/>
          <w:numId w:val="33"/>
        </w:numPr>
        <w:spacing w:line="276" w:lineRule="auto"/>
        <w:rPr>
          <w:rFonts w:ascii="Arial" w:eastAsia="Times New Roman" w:hAnsi="Arial" w:cs="Arial"/>
          <w:bCs/>
          <w:iCs/>
          <w:kern w:val="0"/>
        </w:rPr>
      </w:pPr>
      <w:r w:rsidRPr="002B4E1A">
        <w:rPr>
          <w:rFonts w:ascii="Arial" w:eastAsia="Times New Roman" w:hAnsi="Arial" w:cs="Arial"/>
          <w:bCs/>
          <w:iCs/>
          <w:kern w:val="0"/>
        </w:rPr>
        <w:t xml:space="preserve">additional specialist dementia care home = 6 x </w:t>
      </w:r>
      <w:r w:rsidR="00E72150">
        <w:rPr>
          <w:rFonts w:ascii="Arial" w:eastAsia="Times New Roman" w:hAnsi="Arial" w:cs="Arial"/>
          <w:bCs/>
          <w:iCs/>
          <w:kern w:val="0"/>
        </w:rPr>
        <w:t>16.9</w:t>
      </w:r>
      <w:r w:rsidRPr="002B4E1A">
        <w:rPr>
          <w:rFonts w:ascii="Arial" w:eastAsia="Times New Roman" w:hAnsi="Arial" w:cs="Arial"/>
          <w:bCs/>
          <w:iCs/>
          <w:kern w:val="0"/>
        </w:rPr>
        <w:t xml:space="preserve">% = </w:t>
      </w:r>
      <w:r w:rsidR="00E72150">
        <w:rPr>
          <w:rFonts w:ascii="Arial" w:eastAsia="Times New Roman" w:hAnsi="Arial" w:cs="Arial"/>
          <w:bCs/>
          <w:iCs/>
          <w:kern w:val="0"/>
        </w:rPr>
        <w:t>1</w:t>
      </w:r>
      <w:r w:rsidRPr="002B4E1A">
        <w:rPr>
          <w:rFonts w:ascii="Arial" w:eastAsia="Times New Roman" w:hAnsi="Arial" w:cs="Arial"/>
          <w:bCs/>
          <w:iCs/>
          <w:kern w:val="0"/>
        </w:rPr>
        <w:t xml:space="preserve"> (rounded)</w:t>
      </w:r>
    </w:p>
    <w:p w:rsidR="003B219E" w:rsidRDefault="003B219E" w:rsidP="00A258B5">
      <w:pPr>
        <w:pStyle w:val="ListNumber"/>
      </w:pPr>
      <w:r>
        <w:t xml:space="preserve">Note that there is no obligation for these all to be provided within the </w:t>
      </w:r>
      <w:r w:rsidR="005F5CF8">
        <w:t>Parish</w:t>
      </w:r>
      <w:r>
        <w:t xml:space="preserve"> itself and clearly in some cases, such as providing a single specialist dementia care dwelling, it would not be economically feasible to do so. As such, these</w:t>
      </w:r>
      <w:r w:rsidR="008B1E50">
        <w:t xml:space="preserve"> 40</w:t>
      </w:r>
      <w:r>
        <w:t xml:space="preserve"> specialist dwellings need not be thought of as all needing to be provided within the neighbourhood plan housing target- rather, there will be some overlap between these dwellings and the target, depending on the number that could be provided within the </w:t>
      </w:r>
      <w:r w:rsidR="005F5CF8">
        <w:t>Parish</w:t>
      </w:r>
      <w:r>
        <w:t xml:space="preserve"> itself.</w:t>
      </w:r>
    </w:p>
    <w:p w:rsidR="003B219E" w:rsidRDefault="003B219E" w:rsidP="00A258B5">
      <w:pPr>
        <w:pStyle w:val="ListNumber"/>
      </w:pPr>
      <w:r>
        <w:t xml:space="preserve">This specialist dwelling need is likely therefore to be split between the </w:t>
      </w:r>
      <w:r w:rsidR="005F5CF8">
        <w:t>Parish</w:t>
      </w:r>
      <w:r>
        <w:t xml:space="preserve"> and the rest of the </w:t>
      </w:r>
      <w:r w:rsidR="005F5CF8">
        <w:t>District</w:t>
      </w:r>
      <w:r>
        <w:t xml:space="preserve">, which will enable the elderly to live either within or as close to the </w:t>
      </w:r>
      <w:r w:rsidR="005F5CF8">
        <w:t>Parish</w:t>
      </w:r>
      <w:r>
        <w:t xml:space="preserve"> as possible, taking account of the fact that </w:t>
      </w:r>
      <w:r w:rsidR="008B1E50">
        <w:t>West Wittering</w:t>
      </w:r>
      <w:r>
        <w:t xml:space="preserve"> is unlikely to be able to provide many of the specialist housing types needed within its own boundaries- although there could be the potential for these to be provided at, for example, </w:t>
      </w:r>
      <w:r w:rsidR="008C15F4">
        <w:t xml:space="preserve">Chichester or Bognor Regis, </w:t>
      </w:r>
      <w:r>
        <w:t>taking account of their higher levels of accessibility to services and facilities, which will help in the recruitment and retention of specialist care staff and enable economies of scale (e.g. a centralised dementia care unit or enhanced sheltered development serving a widely dispersed rural population from a single location).</w:t>
      </w:r>
    </w:p>
    <w:p w:rsidR="0021554C" w:rsidRPr="000C35A2" w:rsidRDefault="0021554C" w:rsidP="0021554C">
      <w:pPr>
        <w:pStyle w:val="Heading3"/>
      </w:pPr>
      <w:bookmarkStart w:id="119" w:name="_Toc482786322"/>
      <w:bookmarkStart w:id="120" w:name="_Toc486850636"/>
      <w:bookmarkStart w:id="121" w:name="_Toc488669511"/>
      <w:r w:rsidRPr="000C35A2">
        <w:t>Retirement villages</w:t>
      </w:r>
      <w:bookmarkEnd w:id="119"/>
      <w:bookmarkEnd w:id="120"/>
      <w:bookmarkEnd w:id="121"/>
      <w:r w:rsidRPr="000C35A2">
        <w:t xml:space="preserve"> </w:t>
      </w:r>
    </w:p>
    <w:p w:rsidR="0021554C" w:rsidRPr="00091930" w:rsidRDefault="0021554C" w:rsidP="0021554C">
      <w:pPr>
        <w:pStyle w:val="ListNumber"/>
        <w:ind w:left="709"/>
      </w:pPr>
      <w:bookmarkStart w:id="122" w:name="_Toc482786323"/>
      <w:bookmarkStart w:id="123" w:name="_Toc486850637"/>
      <w:r w:rsidRPr="00091930">
        <w:t xml:space="preserve">Projects that involve the delivery of multiple homes satisfy the desire on the part of many older people to live in an environment with people facing similar challenges; retirement villages are often a cost-effective means of delivering sheltered and extra care housing together with the facilities and services these settlements imply. Given the numbers of units that result from the LIN analysis, it would be appropriate to consider this approach to the delivery of housing for the elderly in </w:t>
      </w:r>
      <w:r w:rsidR="00DC7A83">
        <w:t>West Wittering</w:t>
      </w:r>
      <w:r w:rsidRPr="00091930">
        <w:t xml:space="preserve">. </w:t>
      </w:r>
    </w:p>
    <w:p w:rsidR="0021554C" w:rsidRPr="00091930" w:rsidRDefault="0021554C" w:rsidP="0021554C">
      <w:pPr>
        <w:pStyle w:val="ListNumber"/>
        <w:ind w:left="709"/>
        <w:jc w:val="both"/>
        <w:rPr>
          <w:rFonts w:ascii="Arial" w:hAnsi="Arial" w:cs="Arial"/>
        </w:rPr>
      </w:pPr>
      <w:r w:rsidRPr="00091930">
        <w:rPr>
          <w:rFonts w:ascii="Arial" w:hAnsi="Arial" w:cs="Arial"/>
        </w:rPr>
        <w:t xml:space="preserve">This is in line with community need as understood by WTC who comment, ‘there is a demand for self-catered independent good quality safe and secure housing where similar minded individuals can live as a community with access to facilities, especially reasonable shopping, transport, doctors, opticians and dentists.’   </w:t>
      </w:r>
    </w:p>
    <w:p w:rsidR="0021554C" w:rsidRPr="00091930" w:rsidRDefault="0021554C" w:rsidP="0021554C">
      <w:pPr>
        <w:pStyle w:val="ListNumber"/>
        <w:ind w:left="709"/>
        <w:jc w:val="both"/>
        <w:rPr>
          <w:rFonts w:ascii="Arial" w:hAnsi="Arial" w:cs="Arial"/>
        </w:rPr>
      </w:pPr>
      <w:r w:rsidRPr="00091930">
        <w:rPr>
          <w:rFonts w:ascii="Arial" w:hAnsi="Arial" w:cs="Arial"/>
        </w:rPr>
        <w:t xml:space="preserve">Such schemes should be explored through joint working with </w:t>
      </w:r>
      <w:r w:rsidR="00DC7A83">
        <w:rPr>
          <w:rFonts w:ascii="Arial" w:hAnsi="Arial" w:cs="Arial"/>
        </w:rPr>
        <w:t>CDC</w:t>
      </w:r>
      <w:r w:rsidRPr="00091930">
        <w:rPr>
          <w:rFonts w:ascii="Arial" w:hAnsi="Arial" w:cs="Arial"/>
        </w:rPr>
        <w:t xml:space="preserve"> and other </w:t>
      </w:r>
      <w:r w:rsidR="005F5CF8">
        <w:rPr>
          <w:rFonts w:ascii="Arial" w:hAnsi="Arial" w:cs="Arial"/>
        </w:rPr>
        <w:t>Parish</w:t>
      </w:r>
      <w:r w:rsidRPr="00091930">
        <w:rPr>
          <w:rFonts w:ascii="Arial" w:hAnsi="Arial" w:cs="Arial"/>
        </w:rPr>
        <w:t xml:space="preserve">es to identify sites that could address collective need. </w:t>
      </w:r>
    </w:p>
    <w:p w:rsidR="0021554C" w:rsidRPr="000C35A2" w:rsidRDefault="0021554C" w:rsidP="0021554C">
      <w:pPr>
        <w:pStyle w:val="Heading3"/>
      </w:pPr>
      <w:r>
        <w:t xml:space="preserve"> </w:t>
      </w:r>
      <w:r>
        <w:tab/>
      </w:r>
      <w:bookmarkStart w:id="124" w:name="_Toc488669512"/>
      <w:r w:rsidRPr="000C35A2">
        <w:t xml:space="preserve">Senior </w:t>
      </w:r>
      <w:r w:rsidR="00C462FD">
        <w:t>c</w:t>
      </w:r>
      <w:r w:rsidRPr="000C35A2">
        <w:t>o-housing</w:t>
      </w:r>
      <w:bookmarkEnd w:id="122"/>
      <w:bookmarkEnd w:id="123"/>
      <w:bookmarkEnd w:id="124"/>
    </w:p>
    <w:p w:rsidR="0021554C" w:rsidRPr="00091930" w:rsidRDefault="0021554C" w:rsidP="0021554C">
      <w:pPr>
        <w:pStyle w:val="ListNumber"/>
        <w:ind w:left="708"/>
      </w:pPr>
      <w:bookmarkStart w:id="125" w:name="_Toc482786324"/>
      <w:bookmarkStart w:id="126" w:name="_Toc486850638"/>
      <w:r w:rsidRPr="00091930">
        <w:t>Co-housing has been identified as being particularly suited to the needs of older residents. It offers a way for a group of people with similar interests and needs to come together to create an environment suited specifically to their requirements. Moreover, it can be designed to help address one of the most important issues for older people: isolation and loneliness. A number of successful case studies exist of both projects developed specifically with the needs of older people in mind, and others that encourage multi-generational housing, such as Featherstone Lodge in Forest Hill</w:t>
      </w:r>
      <w:r w:rsidRPr="00091930">
        <w:rPr>
          <w:rFonts w:eastAsia="Calibri"/>
          <w:vertAlign w:val="superscript"/>
        </w:rPr>
        <w:footnoteReference w:id="29"/>
      </w:r>
      <w:r w:rsidRPr="00091930">
        <w:t xml:space="preserve"> and LILAC in Leeds</w:t>
      </w:r>
      <w:r w:rsidRPr="00091930">
        <w:rPr>
          <w:rFonts w:eastAsia="Calibri"/>
          <w:vertAlign w:val="superscript"/>
        </w:rPr>
        <w:footnoteReference w:id="30"/>
      </w:r>
      <w:r w:rsidRPr="00091930">
        <w:t xml:space="preserve">. In the first example, the design facilitated the creation of public areas that encouraged social interaction between members of the community, moreover, a ‘common house’ was built in the grounds of the scheme that provided a shared space in which people could come together for meeting and shared activities. </w:t>
      </w:r>
    </w:p>
    <w:p w:rsidR="0021554C" w:rsidRPr="000C35A2" w:rsidRDefault="0021554C" w:rsidP="0021554C">
      <w:pPr>
        <w:pStyle w:val="Heading3"/>
      </w:pPr>
      <w:r>
        <w:t xml:space="preserve"> </w:t>
      </w:r>
      <w:r>
        <w:tab/>
      </w:r>
      <w:bookmarkStart w:id="127" w:name="_Toc488669513"/>
      <w:r w:rsidRPr="000C35A2">
        <w:t>Multi-generational homes</w:t>
      </w:r>
      <w:bookmarkEnd w:id="125"/>
      <w:bookmarkEnd w:id="126"/>
      <w:bookmarkEnd w:id="127"/>
    </w:p>
    <w:p w:rsidR="0021554C" w:rsidRPr="002B4E1A" w:rsidRDefault="0021554C" w:rsidP="0021554C">
      <w:pPr>
        <w:pStyle w:val="ListNumber"/>
        <w:ind w:left="708"/>
      </w:pPr>
      <w:r w:rsidRPr="002B4E1A">
        <w:t xml:space="preserve">Multi-generational living has been identified as a possible solution not only for older people, but all generations where it makes financial sense to share accommodation, particularly younger people who are struggling to set up </w:t>
      </w:r>
      <w:r w:rsidRPr="002B4E1A">
        <w:lastRenderedPageBreak/>
        <w:t>their own households. This gives rise not only to designs for new homes, but conversions to existing dwellings, introducing internal subdivisions and peripheral extensions to create internal layouts that balance the private needs of different generations with the benefits of over-lapping, shared communal spaces.</w:t>
      </w:r>
      <w:r w:rsidRPr="002B4E1A">
        <w:rPr>
          <w:rFonts w:eastAsia="Calibri"/>
          <w:vertAlign w:val="superscript"/>
        </w:rPr>
        <w:footnoteReference w:id="31"/>
      </w:r>
      <w:r w:rsidRPr="002B4E1A">
        <w:t xml:space="preserve"> </w:t>
      </w:r>
    </w:p>
    <w:p w:rsidR="0021554C" w:rsidRPr="002B4E1A" w:rsidRDefault="0021554C" w:rsidP="0021554C">
      <w:pPr>
        <w:pStyle w:val="ListNumber"/>
        <w:ind w:left="708"/>
      </w:pPr>
      <w:r w:rsidRPr="002B4E1A">
        <w:t xml:space="preserve">The phenomenon of the aging population has an up-side; with increases in the quality of health-care, older people are able to live active lives for longer, the so-called ‘third age’ after retirement when people still want to live fully active lives. Within a household or community where tasks and facilities are shared, they are in a good position to take on both voluntary and paid work, for example looking after grandchildren or taking care of the elderly. </w:t>
      </w:r>
    </w:p>
    <w:p w:rsidR="0021554C" w:rsidRPr="000C35A2" w:rsidRDefault="0021554C" w:rsidP="0021554C">
      <w:pPr>
        <w:pStyle w:val="Heading3"/>
      </w:pPr>
      <w:bookmarkStart w:id="128" w:name="_Toc482786325"/>
      <w:bookmarkStart w:id="129" w:name="_Toc486850639"/>
      <w:r>
        <w:t xml:space="preserve"> </w:t>
      </w:r>
      <w:r>
        <w:tab/>
      </w:r>
      <w:bookmarkStart w:id="130" w:name="_Toc488669514"/>
      <w:r w:rsidRPr="000C35A2">
        <w:t xml:space="preserve">Lifetime </w:t>
      </w:r>
      <w:r w:rsidR="00C462FD">
        <w:t>h</w:t>
      </w:r>
      <w:r w:rsidRPr="000C35A2">
        <w:t>omes</w:t>
      </w:r>
      <w:bookmarkEnd w:id="128"/>
      <w:bookmarkEnd w:id="129"/>
      <w:bookmarkEnd w:id="130"/>
      <w:r w:rsidRPr="000C35A2">
        <w:t xml:space="preserve"> </w:t>
      </w:r>
    </w:p>
    <w:p w:rsidR="0021554C" w:rsidRPr="002B4E1A" w:rsidRDefault="0021554C" w:rsidP="0021554C">
      <w:pPr>
        <w:pStyle w:val="ListNumber"/>
        <w:ind w:left="708"/>
      </w:pPr>
      <w:r w:rsidRPr="002B4E1A">
        <w:t>Many local authorities incorporate policy into their Local Plans that a proportion of new homes should be built according to ‘lifetime homes’ principles; these are ordinary homes incorporating a number of design criteria that can be universally applied to new homes at minimal cost, for example parking that makes getting in and out of the car as simple and convenient as possible and ensuring movement in hallways and through doorways should be as convenient to the widest range of people, including those using mobility aids or wheelchairs, and those moving furniture or other objects.</w:t>
      </w:r>
      <w:r w:rsidRPr="002B4E1A">
        <w:rPr>
          <w:rFonts w:eastAsia="Calibri"/>
          <w:vertAlign w:val="superscript"/>
        </w:rPr>
        <w:footnoteReference w:id="32"/>
      </w:r>
    </w:p>
    <w:p w:rsidR="0021554C" w:rsidRPr="000C35A2" w:rsidRDefault="0021554C" w:rsidP="0021554C">
      <w:pPr>
        <w:pStyle w:val="Heading3"/>
        <w:rPr>
          <w:rFonts w:eastAsia="Times New Roman"/>
        </w:rPr>
      </w:pPr>
      <w:bookmarkStart w:id="131" w:name="_Toc486850640"/>
      <w:r>
        <w:rPr>
          <w:rFonts w:eastAsia="Times New Roman"/>
        </w:rPr>
        <w:t xml:space="preserve"> </w:t>
      </w:r>
      <w:r>
        <w:rPr>
          <w:rFonts w:eastAsia="Times New Roman"/>
        </w:rPr>
        <w:tab/>
      </w:r>
      <w:bookmarkStart w:id="132" w:name="_Toc488669515"/>
      <w:r w:rsidRPr="000C35A2">
        <w:rPr>
          <w:rFonts w:eastAsia="Times New Roman"/>
        </w:rPr>
        <w:t>Right-sizing</w:t>
      </w:r>
      <w:bookmarkEnd w:id="131"/>
      <w:bookmarkEnd w:id="132"/>
    </w:p>
    <w:p w:rsidR="0021554C" w:rsidRPr="002B4E1A" w:rsidRDefault="0021554C" w:rsidP="0021554C">
      <w:pPr>
        <w:pStyle w:val="ListNumber"/>
        <w:ind w:left="708"/>
      </w:pPr>
      <w:r w:rsidRPr="002B4E1A">
        <w:t xml:space="preserve">As we have identified earlier, there is a need for a greater number of the type of dwellings that facilitate ‘right-sizing’ for older people. It is important to note, this does not necessarily imply moving to a smaller home. Many older people have the wealth (and the choice that comes with it) to create a home suited to having visitors and accommodating care staff, who may need to make over-night stays.  </w:t>
      </w:r>
    </w:p>
    <w:p w:rsidR="0021554C" w:rsidRPr="002B4E1A" w:rsidRDefault="0021554C" w:rsidP="0021554C">
      <w:pPr>
        <w:pStyle w:val="ListNumber"/>
        <w:ind w:left="708"/>
      </w:pPr>
      <w:r w:rsidRPr="002B4E1A">
        <w:t>For this reason, it is important to recognise that different ages have different needs, thus in the provision of housing, choice is critical, catering for those with relatively modest requirements, to those who are more dependent on help. The provision of choice that responds to need is part of creating a smoothly operating local housing market in which older people are able move out of family homes when they wish, thus freeing up these properties for others.</w:t>
      </w:r>
      <w:r w:rsidRPr="002B4E1A">
        <w:rPr>
          <w:rFonts w:eastAsia="Calibri"/>
          <w:vertAlign w:val="superscript"/>
        </w:rPr>
        <w:footnoteReference w:id="33"/>
      </w:r>
      <w:r w:rsidRPr="002B4E1A">
        <w:t xml:space="preserve"> </w:t>
      </w:r>
    </w:p>
    <w:p w:rsidR="0021554C" w:rsidRPr="000C35A2" w:rsidRDefault="0021554C" w:rsidP="0021554C">
      <w:pPr>
        <w:pStyle w:val="Heading3"/>
      </w:pPr>
      <w:bookmarkStart w:id="133" w:name="_Toc482786326"/>
      <w:bookmarkStart w:id="134" w:name="_Toc486850641"/>
      <w:r>
        <w:t xml:space="preserve"> </w:t>
      </w:r>
      <w:r>
        <w:tab/>
      </w:r>
      <w:bookmarkStart w:id="135" w:name="_Toc488669516"/>
      <w:r>
        <w:t>P</w:t>
      </w:r>
      <w:r w:rsidRPr="000C35A2">
        <w:t>lanning flexibility</w:t>
      </w:r>
      <w:bookmarkEnd w:id="133"/>
      <w:bookmarkEnd w:id="134"/>
      <w:bookmarkEnd w:id="135"/>
    </w:p>
    <w:p w:rsidR="0021554C" w:rsidRPr="002B4E1A" w:rsidRDefault="0021554C" w:rsidP="0021554C">
      <w:pPr>
        <w:pStyle w:val="ListNumber"/>
        <w:ind w:left="708"/>
      </w:pPr>
      <w:r w:rsidRPr="002B4E1A">
        <w:t>Planning policy can be mobili</w:t>
      </w:r>
      <w:r w:rsidR="00C462FD">
        <w:t>s</w:t>
      </w:r>
      <w:r w:rsidRPr="002B4E1A">
        <w:t>ed to help properties to become more adaptable in the context of an increasingly elderly population. This includes allowing the conversion of conventional dwellings or groups of dwellings (for example terraced housing) into multiple homes, particularly where additional features are included to address ‘lifetime homes’ criteria and to encourage interaction with the wider community. This can incorporate bigger community open space as a result of joining up different gardens.</w:t>
      </w:r>
      <w:r w:rsidRPr="002B4E1A">
        <w:rPr>
          <w:rFonts w:eastAsia="Calibri"/>
          <w:vertAlign w:val="superscript"/>
        </w:rPr>
        <w:footnoteReference w:id="34"/>
      </w:r>
      <w:r w:rsidRPr="002B4E1A">
        <w:t xml:space="preserve"> This is not dissimilar to the practice of ‘alley-gating’ where alleyways between the backs of terraced housing have been gated off, and turned into shared community spaces. </w:t>
      </w:r>
    </w:p>
    <w:p w:rsidR="0021554C" w:rsidRPr="000C35A2" w:rsidRDefault="0021554C" w:rsidP="0021554C">
      <w:pPr>
        <w:pStyle w:val="Heading3"/>
      </w:pPr>
      <w:bookmarkStart w:id="136" w:name="_Toc482786327"/>
      <w:bookmarkStart w:id="137" w:name="_Toc486850642"/>
      <w:r>
        <w:t xml:space="preserve"> </w:t>
      </w:r>
      <w:r>
        <w:tab/>
      </w:r>
      <w:bookmarkStart w:id="138" w:name="_Toc488669517"/>
      <w:r w:rsidRPr="000C35A2">
        <w:t>Lifetime neighbourhoods</w:t>
      </w:r>
      <w:bookmarkEnd w:id="136"/>
      <w:bookmarkEnd w:id="137"/>
      <w:bookmarkEnd w:id="138"/>
    </w:p>
    <w:p w:rsidR="0021554C" w:rsidRPr="002B4E1A" w:rsidRDefault="0021554C" w:rsidP="0021554C">
      <w:pPr>
        <w:pStyle w:val="ListNumber"/>
        <w:ind w:left="708"/>
      </w:pPr>
      <w:r w:rsidRPr="002B4E1A">
        <w:t xml:space="preserve">Creating an environment in which older people feel both welcome and comfortable does not end at the front door. Research exists that considers life-time neighbourhoods, in which the public realm is designed to address the needs of older people, and activates the benefits they can bring in supporting local businesses and encouraging improved public realm for everyone, for example providing more greenery and more walkable, better connected places. </w:t>
      </w:r>
    </w:p>
    <w:p w:rsidR="0021554C" w:rsidRPr="002B4E1A" w:rsidRDefault="0021554C" w:rsidP="0021554C">
      <w:pPr>
        <w:pStyle w:val="ListNumber"/>
        <w:ind w:left="708"/>
      </w:pPr>
      <w:r w:rsidRPr="002B4E1A">
        <w:t>Given the expanded role of neighbourhood planning around design outlined in the Housing White Paper of 2017</w:t>
      </w:r>
      <w:r w:rsidRPr="002B4E1A">
        <w:rPr>
          <w:rStyle w:val="FootnoteReference"/>
          <w:rFonts w:ascii="Arial" w:eastAsia="Times New Roman" w:hAnsi="Arial" w:cs="Arial"/>
          <w:bCs/>
          <w:iCs/>
          <w:kern w:val="0"/>
        </w:rPr>
        <w:footnoteReference w:id="35"/>
      </w:r>
      <w:r w:rsidRPr="002B4E1A">
        <w:t xml:space="preserve">, a compelling notion is that of ‘the amplification of impact of micro-environmental features’ to describe that particular way in which we become more sensitive to the ordinary, smallest features of urban space as we age. This places a particular emphasis on care and reflection in how we design, for example paths and public seating; this, in turn, calls for the participation of older people in the process of design. </w:t>
      </w:r>
    </w:p>
    <w:p w:rsidR="0021554C" w:rsidRPr="002B4E1A" w:rsidRDefault="0021554C" w:rsidP="0021554C">
      <w:pPr>
        <w:pStyle w:val="ListNumber"/>
        <w:ind w:left="708"/>
      </w:pPr>
      <w:r w:rsidRPr="002B4E1A">
        <w:lastRenderedPageBreak/>
        <w:t xml:space="preserve">Design approaches exist that provide a starting point for locally informed policy development in this area, these include Manchester’s </w:t>
      </w:r>
      <w:r w:rsidRPr="002B4E1A">
        <w:rPr>
          <w:u w:val="single"/>
        </w:rPr>
        <w:t>Design for Access 2</w:t>
      </w:r>
      <w:r w:rsidRPr="002B4E1A">
        <w:t xml:space="preserve"> and the work of Inclusive Design for Getting Outdoors (IDGO); IDGO have identified material features that make everyday negotiation of urban space that much easier for older people; these include wide and flat tarmac footways, easy transition level changes, clear, simple and visible signage, frequent warm and supportive seating and well-maintained, safe and open toilets.</w:t>
      </w:r>
      <w:r w:rsidRPr="002B4E1A">
        <w:rPr>
          <w:rStyle w:val="FootnoteReference"/>
          <w:rFonts w:ascii="Arial" w:eastAsia="Times New Roman" w:hAnsi="Arial" w:cs="Arial"/>
          <w:bCs/>
          <w:iCs/>
          <w:kern w:val="0"/>
        </w:rPr>
        <w:footnoteReference w:id="36"/>
      </w:r>
      <w:r w:rsidRPr="002B4E1A">
        <w:t xml:space="preserve"> </w:t>
      </w:r>
    </w:p>
    <w:p w:rsidR="0021554C" w:rsidRPr="002B4E1A" w:rsidRDefault="0021554C" w:rsidP="0021554C">
      <w:pPr>
        <w:pStyle w:val="ListNumber"/>
        <w:ind w:left="708"/>
      </w:pPr>
      <w:r w:rsidRPr="002B4E1A">
        <w:t xml:space="preserve">In addition, the notion of ‘pensioner play-grounds,’ ‘green-gyms,’ community gardens and various forms of guerrilla gardening (for example the Edible </w:t>
      </w:r>
      <w:proofErr w:type="spellStart"/>
      <w:r w:rsidRPr="002B4E1A">
        <w:t>Todmorden</w:t>
      </w:r>
      <w:proofErr w:type="spellEnd"/>
      <w:r w:rsidRPr="002B4E1A">
        <w:t xml:space="preserve"> project) encourage active use of public space and facilities on the part of an older demographic. </w:t>
      </w:r>
    </w:p>
    <w:p w:rsidR="0021554C" w:rsidRPr="000C35A2" w:rsidRDefault="0021554C" w:rsidP="0021554C">
      <w:pPr>
        <w:pStyle w:val="Heading3"/>
        <w:rPr>
          <w:rFonts w:eastAsia="Times New Roman"/>
        </w:rPr>
      </w:pPr>
      <w:bookmarkStart w:id="139" w:name="_Toc486850643"/>
      <w:r>
        <w:rPr>
          <w:rFonts w:eastAsia="Times New Roman"/>
        </w:rPr>
        <w:t xml:space="preserve"> </w:t>
      </w:r>
      <w:r>
        <w:rPr>
          <w:rFonts w:eastAsia="Times New Roman"/>
        </w:rPr>
        <w:tab/>
      </w:r>
      <w:bookmarkStart w:id="140" w:name="_Toc488669518"/>
      <w:r w:rsidRPr="000C35A2">
        <w:rPr>
          <w:rFonts w:eastAsia="Times New Roman"/>
        </w:rPr>
        <w:t>Age-friendliness</w:t>
      </w:r>
      <w:bookmarkEnd w:id="139"/>
      <w:bookmarkEnd w:id="140"/>
    </w:p>
    <w:p w:rsidR="0021554C" w:rsidRDefault="0021554C" w:rsidP="0021554C">
      <w:pPr>
        <w:pStyle w:val="ListNumber"/>
        <w:ind w:left="708"/>
      </w:pPr>
      <w:r w:rsidRPr="002B4E1A">
        <w:t>Since the millennium policy at the international level has been directed towards a more holistic appreciation of what an ‘age-friendly’ urban environment looks like. It has been remarked this should extend beyond physical installations, such as public seating and access to WCs, but embrace means mobilising civic agency among older group to forestall incipient marginalisation, enabling them to continue to make a full and active contribution to community life.</w:t>
      </w:r>
      <w:r w:rsidRPr="002B4E1A">
        <w:rPr>
          <w:rStyle w:val="FootnoteReference"/>
          <w:rFonts w:ascii="Arial" w:eastAsia="Times New Roman" w:hAnsi="Arial" w:cs="Arial"/>
          <w:bCs/>
          <w:iCs/>
          <w:kern w:val="0"/>
        </w:rPr>
        <w:footnoteReference w:id="37"/>
      </w:r>
      <w:r w:rsidRPr="002B4E1A">
        <w:t xml:space="preserve"> </w:t>
      </w:r>
    </w:p>
    <w:p w:rsidR="0021554C" w:rsidRPr="00BB1FAF" w:rsidRDefault="0021554C" w:rsidP="0021554C">
      <w:pPr>
        <w:pStyle w:val="ListNumber"/>
        <w:ind w:left="708"/>
      </w:pPr>
      <w:r w:rsidRPr="00BB1FAF">
        <w:rPr>
          <w:rFonts w:ascii="Arial" w:eastAsia="Times New Roman" w:hAnsi="Arial" w:cs="Arial"/>
          <w:bCs/>
          <w:iCs/>
          <w:kern w:val="0"/>
        </w:rPr>
        <w:t xml:space="preserve">In 2006 the World Health Organisation (WHO) began developing the ‘Age-Friendly Cities’ movement, now a worldwide network of over 200 member cities around the world. They have produced a guide that offers a way of analysing the city from the perspective of older people, using a framework of inter-related domains: transportation, housing, social participation, respect and social inclusion, communication and information, civic participation and employment, health and community services. </w:t>
      </w:r>
    </w:p>
    <w:p w:rsidR="0021554C" w:rsidRPr="00BB1FAF" w:rsidRDefault="0021554C" w:rsidP="0021554C">
      <w:pPr>
        <w:pStyle w:val="ListNumber"/>
        <w:ind w:left="708"/>
      </w:pPr>
      <w:r w:rsidRPr="00BB1FAF">
        <w:rPr>
          <w:rFonts w:ascii="Arial" w:eastAsia="Times New Roman" w:hAnsi="Arial" w:cs="Arial"/>
          <w:bCs/>
          <w:iCs/>
          <w:kern w:val="0"/>
        </w:rPr>
        <w:t>Considering the housing domain, the WHO study identifies a check list of attributes necessary to foster a sense of belonging and well-being among older people. In addition to affordability and designing accommodation with the needs of older people in mind, the adaptability of dwellings is important, for example their capacity to accommodate chair-lifts that enable older people to continue to live in two-storey homes</w:t>
      </w:r>
      <w:r w:rsidRPr="002B4E1A">
        <w:rPr>
          <w:rStyle w:val="FootnoteReference"/>
          <w:rFonts w:ascii="Arial" w:eastAsia="Times New Roman" w:hAnsi="Arial" w:cs="Arial"/>
          <w:bCs/>
          <w:iCs/>
          <w:kern w:val="0"/>
        </w:rPr>
        <w:footnoteReference w:id="38"/>
      </w:r>
      <w:r w:rsidRPr="00BB1FAF">
        <w:rPr>
          <w:rFonts w:ascii="Arial" w:eastAsia="Times New Roman" w:hAnsi="Arial" w:cs="Arial"/>
          <w:bCs/>
          <w:iCs/>
          <w:kern w:val="0"/>
        </w:rPr>
        <w:t xml:space="preserve">. </w:t>
      </w:r>
    </w:p>
    <w:p w:rsidR="0021554C" w:rsidRPr="00BB1FAF" w:rsidRDefault="0021554C" w:rsidP="0021554C">
      <w:pPr>
        <w:pStyle w:val="ListNumber"/>
        <w:ind w:left="708"/>
      </w:pPr>
      <w:r w:rsidRPr="00BB1FAF">
        <w:rPr>
          <w:rFonts w:ascii="Arial" w:eastAsia="Times New Roman" w:hAnsi="Arial" w:cs="Arial"/>
          <w:bCs/>
          <w:iCs/>
          <w:kern w:val="0"/>
        </w:rPr>
        <w:t>The WHO also identified access to services, particularly those that become increasingly important as people get older, such as places of worship and community centres.</w:t>
      </w:r>
      <w:r w:rsidRPr="002B4E1A">
        <w:rPr>
          <w:rStyle w:val="FootnoteReference"/>
          <w:rFonts w:ascii="Arial" w:eastAsia="Times New Roman" w:hAnsi="Arial" w:cs="Arial"/>
          <w:bCs/>
          <w:iCs/>
          <w:kern w:val="0"/>
        </w:rPr>
        <w:footnoteReference w:id="39"/>
      </w:r>
      <w:r w:rsidRPr="00BB1FAF">
        <w:rPr>
          <w:rFonts w:ascii="Arial" w:eastAsia="Times New Roman" w:hAnsi="Arial" w:cs="Arial"/>
          <w:bCs/>
          <w:iCs/>
          <w:kern w:val="0"/>
        </w:rPr>
        <w:t xml:space="preserve"> Moreover, optimising well-being has much to do with being able to maintain links with existing networks, which is best achieved by enabling people to remain in their existing communities for as long as possible. In the Australian city of Melville small clusters of senior's housing with small gardens are made available throughout the city, so that older people are not isolated from the community and particularly from children.</w:t>
      </w:r>
      <w:r w:rsidRPr="002B4E1A">
        <w:rPr>
          <w:rStyle w:val="FootnoteReference"/>
          <w:rFonts w:ascii="Arial" w:eastAsia="Times New Roman" w:hAnsi="Arial" w:cs="Arial"/>
          <w:bCs/>
          <w:iCs/>
          <w:kern w:val="0"/>
        </w:rPr>
        <w:footnoteReference w:id="40"/>
      </w:r>
    </w:p>
    <w:p w:rsidR="0021554C" w:rsidRPr="000C35A2" w:rsidRDefault="0021554C" w:rsidP="0021554C">
      <w:pPr>
        <w:pStyle w:val="Heading3"/>
        <w:rPr>
          <w:rFonts w:eastAsia="Times New Roman"/>
        </w:rPr>
      </w:pPr>
      <w:bookmarkStart w:id="141" w:name="_Toc486850644"/>
      <w:bookmarkStart w:id="142" w:name="_Toc488669519"/>
      <w:r w:rsidRPr="000C35A2">
        <w:rPr>
          <w:rFonts w:eastAsia="Times New Roman"/>
        </w:rPr>
        <w:t xml:space="preserve">Housing for people with </w:t>
      </w:r>
      <w:r w:rsidR="00C462FD">
        <w:rPr>
          <w:rFonts w:eastAsia="Times New Roman"/>
        </w:rPr>
        <w:t>d</w:t>
      </w:r>
      <w:r w:rsidRPr="000C35A2">
        <w:rPr>
          <w:rFonts w:eastAsia="Times New Roman"/>
        </w:rPr>
        <w:t>ementia</w:t>
      </w:r>
      <w:bookmarkEnd w:id="141"/>
      <w:bookmarkEnd w:id="142"/>
    </w:p>
    <w:p w:rsidR="0021554C" w:rsidRPr="002B4E1A" w:rsidRDefault="0021554C" w:rsidP="0021554C">
      <w:pPr>
        <w:pStyle w:val="ListNumber"/>
        <w:ind w:left="708"/>
      </w:pPr>
      <w:r w:rsidRPr="002B4E1A">
        <w:t>Enabling people with dementia to live in their own homes for longer is critical to their quality of life as a result of the familiarity of surroundings and the help with retaining memories this facilitates</w:t>
      </w:r>
      <w:r w:rsidRPr="002B4E1A">
        <w:rPr>
          <w:rStyle w:val="FootnoteReference"/>
          <w:rFonts w:ascii="Arial" w:eastAsia="Times New Roman" w:hAnsi="Arial" w:cs="Arial"/>
          <w:bCs/>
          <w:iCs/>
          <w:kern w:val="0"/>
        </w:rPr>
        <w:footnoteReference w:id="41"/>
      </w:r>
      <w:r w:rsidRPr="002B4E1A">
        <w:t xml:space="preserve">. The challenge with this is two-fold; firstly the lack of appropriate adaptations in properties and, secondly, the support required to ensure a home is safe and suitable. </w:t>
      </w:r>
    </w:p>
    <w:p w:rsidR="0021554C" w:rsidRPr="002B4E1A" w:rsidRDefault="0021554C" w:rsidP="0021554C">
      <w:pPr>
        <w:pStyle w:val="ListNumber"/>
        <w:ind w:left="708"/>
      </w:pPr>
      <w:r w:rsidRPr="002B4E1A">
        <w:t xml:space="preserve">Selwood Housing in the South West has pioneered approaches that help overcome these, for example the </w:t>
      </w:r>
      <w:proofErr w:type="gramStart"/>
      <w:r w:rsidRPr="002B4E1A">
        <w:t>installation of property exit sensors to inform a monitoring centre</w:t>
      </w:r>
      <w:proofErr w:type="gramEnd"/>
      <w:r w:rsidRPr="002B4E1A">
        <w:t xml:space="preserve"> when tenants leave their home and then not return within a pre-determined time. </w:t>
      </w:r>
    </w:p>
    <w:p w:rsidR="0021554C" w:rsidRPr="002B4E1A" w:rsidRDefault="0021554C" w:rsidP="0021554C">
      <w:pPr>
        <w:pStyle w:val="ListNumber"/>
        <w:ind w:left="708"/>
      </w:pPr>
      <w:r>
        <w:t>In figure 14</w:t>
      </w:r>
      <w:r w:rsidRPr="002B4E1A">
        <w:t xml:space="preserve"> below we reproduce a chart showing the impact that early and appropriate intervention can have on the prospect of people with dementia remaining in their own home for longer. </w:t>
      </w:r>
    </w:p>
    <w:p w:rsidR="0021554C" w:rsidRDefault="0021554C" w:rsidP="0021554C">
      <w:pPr>
        <w:pStyle w:val="Caption"/>
      </w:pPr>
      <w:bookmarkStart w:id="143" w:name="_Toc487535046"/>
      <w:bookmarkStart w:id="144" w:name="_Toc488669548"/>
      <w:r>
        <w:lastRenderedPageBreak/>
        <w:t xml:space="preserve">Figure </w:t>
      </w:r>
      <w:fldSimple w:instr=" SEQ Figure \* ARABIC ">
        <w:r w:rsidR="00A258B5">
          <w:rPr>
            <w:noProof/>
          </w:rPr>
          <w:t>7</w:t>
        </w:r>
      </w:fldSimple>
      <w:r>
        <w:t xml:space="preserve">: </w:t>
      </w:r>
      <w:r w:rsidRPr="00A400D6">
        <w:t>Dementia care chart</w:t>
      </w:r>
      <w:bookmarkEnd w:id="143"/>
      <w:bookmarkEnd w:id="144"/>
    </w:p>
    <w:p w:rsidR="0021554C" w:rsidRPr="000C35A2" w:rsidRDefault="0021554C" w:rsidP="0021554C">
      <w:pPr>
        <w:pStyle w:val="BodyText"/>
        <w:spacing w:after="0" w:line="276" w:lineRule="auto"/>
        <w:rPr>
          <w:rFonts w:asciiTheme="majorHAnsi" w:hAnsiTheme="majorHAnsi"/>
          <w:b/>
          <w:bCs/>
          <w:color w:val="00B5E2" w:themeColor="accent1"/>
          <w:sz w:val="20"/>
        </w:rPr>
      </w:pPr>
      <w:r w:rsidRPr="000C35A2">
        <w:rPr>
          <w:rFonts w:asciiTheme="majorHAnsi" w:hAnsiTheme="majorHAnsi"/>
          <w:b/>
          <w:bCs/>
          <w:noProof/>
          <w:color w:val="00B5E2" w:themeColor="accent1"/>
          <w:sz w:val="20"/>
          <w:lang w:eastAsia="en-GB"/>
        </w:rPr>
        <w:drawing>
          <wp:inline distT="0" distB="0" distL="0" distR="0" wp14:anchorId="285A3F6E" wp14:editId="29402399">
            <wp:extent cx="4115388" cy="2515922"/>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ntia.PNG"/>
                    <pic:cNvPicPr/>
                  </pic:nvPicPr>
                  <pic:blipFill>
                    <a:blip r:embed="rId26">
                      <a:extLst>
                        <a:ext uri="{28A0092B-C50C-407E-A947-70E740481C1C}">
                          <a14:useLocalDpi xmlns:a14="http://schemas.microsoft.com/office/drawing/2010/main" val="0"/>
                        </a:ext>
                      </a:extLst>
                    </a:blip>
                    <a:stretch>
                      <a:fillRect/>
                    </a:stretch>
                  </pic:blipFill>
                  <pic:spPr>
                    <a:xfrm>
                      <a:off x="0" y="0"/>
                      <a:ext cx="4118153" cy="2517613"/>
                    </a:xfrm>
                    <a:prstGeom prst="rect">
                      <a:avLst/>
                    </a:prstGeom>
                  </pic:spPr>
                </pic:pic>
              </a:graphicData>
            </a:graphic>
          </wp:inline>
        </w:drawing>
      </w:r>
      <w:r w:rsidRPr="000C35A2">
        <w:rPr>
          <w:rFonts w:asciiTheme="majorHAnsi" w:hAnsiTheme="majorHAnsi"/>
          <w:b/>
          <w:bCs/>
          <w:color w:val="00B5E2" w:themeColor="accent1"/>
          <w:sz w:val="20"/>
        </w:rPr>
        <w:t xml:space="preserve"> </w:t>
      </w:r>
    </w:p>
    <w:p w:rsidR="0021554C" w:rsidRPr="000C35A2" w:rsidRDefault="0021554C" w:rsidP="0021554C">
      <w:pPr>
        <w:pStyle w:val="BodyText"/>
        <w:spacing w:after="0" w:line="276" w:lineRule="auto"/>
        <w:rPr>
          <w:rFonts w:asciiTheme="majorHAnsi" w:hAnsiTheme="majorHAnsi"/>
          <w:b/>
          <w:bCs/>
          <w:color w:val="00B5E2" w:themeColor="accent1"/>
          <w:sz w:val="20"/>
        </w:rPr>
      </w:pPr>
      <w:r w:rsidRPr="000C35A2">
        <w:rPr>
          <w:rFonts w:asciiTheme="majorHAnsi" w:hAnsiTheme="majorHAnsi"/>
          <w:b/>
          <w:bCs/>
          <w:color w:val="00B5E2" w:themeColor="accent1"/>
          <w:sz w:val="20"/>
        </w:rPr>
        <w:t xml:space="preserve">Source: Dementia Services Development Centre, 2013 </w:t>
      </w:r>
    </w:p>
    <w:p w:rsidR="0021554C" w:rsidRPr="000C35A2" w:rsidRDefault="0021554C" w:rsidP="0021554C">
      <w:pPr>
        <w:pStyle w:val="Heading3"/>
      </w:pPr>
      <w:bookmarkStart w:id="145" w:name="_Toc482786328"/>
      <w:bookmarkStart w:id="146" w:name="_Toc486850645"/>
      <w:bookmarkStart w:id="147" w:name="_Toc488669520"/>
      <w:r w:rsidRPr="000C35A2">
        <w:t>The role of the Local Authority</w:t>
      </w:r>
      <w:bookmarkEnd w:id="145"/>
      <w:bookmarkEnd w:id="146"/>
      <w:bookmarkEnd w:id="147"/>
    </w:p>
    <w:p w:rsidR="0021554C" w:rsidRPr="007552D4" w:rsidRDefault="0021554C" w:rsidP="0021554C">
      <w:pPr>
        <w:pStyle w:val="ListNumber"/>
        <w:ind w:left="708"/>
      </w:pPr>
      <w:r w:rsidRPr="002B4E1A">
        <w:t>As suggested above, it is appropriate for the neighbourhood group to work closely with the LPA to develop policy and approaches to addressing the need for housing for elderly people in the area. The LPA is under an obligation through national policy to address the needs of older people,</w:t>
      </w:r>
      <w:r w:rsidRPr="002B4E1A">
        <w:rPr>
          <w:rFonts w:eastAsia="Calibri"/>
          <w:vertAlign w:val="superscript"/>
        </w:rPr>
        <w:footnoteReference w:id="42"/>
      </w:r>
      <w:r w:rsidRPr="002B4E1A">
        <w:t xml:space="preserve"> it is therefore appropriate they should play the strategic role in co-ordinating new efforts by housing providers, adult care services, primary care and health trusts, private and third sector organisations to meet the housing needs of older people across the </w:t>
      </w:r>
      <w:r w:rsidR="005F5CF8">
        <w:t>District</w:t>
      </w:r>
      <w:r w:rsidRPr="002B4E1A">
        <w:t xml:space="preserve">.  </w:t>
      </w:r>
    </w:p>
    <w:p w:rsidR="0021554C" w:rsidRPr="0028000E" w:rsidRDefault="0021554C" w:rsidP="00B90B1C">
      <w:pPr>
        <w:pStyle w:val="BodyText"/>
        <w:rPr>
          <w:b/>
          <w:bCs/>
          <w:iCs/>
          <w:lang w:val="en-US"/>
        </w:rPr>
      </w:pPr>
    </w:p>
    <w:bookmarkEnd w:id="83"/>
    <w:p w:rsidR="00A258B5" w:rsidRDefault="00A258B5">
      <w:pPr>
        <w:tabs>
          <w:tab w:val="clear" w:pos="284"/>
        </w:tabs>
        <w:spacing w:line="240" w:lineRule="auto"/>
        <w:rPr>
          <w:rFonts w:asciiTheme="majorHAnsi" w:eastAsiaTheme="majorEastAsia" w:hAnsiTheme="majorHAnsi" w:cstheme="majorBidi"/>
          <w:b/>
          <w:bCs/>
          <w:color w:val="00B5E2" w:themeColor="accent1"/>
          <w:sz w:val="30"/>
          <w:szCs w:val="28"/>
          <w:lang w:val="en-US"/>
        </w:rPr>
      </w:pPr>
      <w:r>
        <w:rPr>
          <w:lang w:val="en-US"/>
        </w:rPr>
        <w:br w:type="page"/>
      </w:r>
    </w:p>
    <w:p w:rsidR="004B4774" w:rsidRPr="00A258B5" w:rsidRDefault="00E80CC8" w:rsidP="00A258B5">
      <w:pPr>
        <w:pStyle w:val="Heading1"/>
        <w:rPr>
          <w:lang w:val="en-US"/>
        </w:rPr>
      </w:pPr>
      <w:bookmarkStart w:id="148" w:name="_Toc504464747"/>
      <w:r w:rsidRPr="00B90B1C">
        <w:rPr>
          <w:lang w:val="en-US"/>
        </w:rPr>
        <w:lastRenderedPageBreak/>
        <w:t xml:space="preserve">Market </w:t>
      </w:r>
      <w:r w:rsidR="00C462FD">
        <w:rPr>
          <w:lang w:val="en-US"/>
        </w:rPr>
        <w:t>s</w:t>
      </w:r>
      <w:r w:rsidRPr="00B90B1C">
        <w:rPr>
          <w:lang w:val="en-US"/>
        </w:rPr>
        <w:t>ignals</w:t>
      </w:r>
      <w:bookmarkEnd w:id="148"/>
      <w:r w:rsidRPr="00B90B1C">
        <w:rPr>
          <w:lang w:val="en-US"/>
        </w:rPr>
        <w:t xml:space="preserve"> </w:t>
      </w:r>
    </w:p>
    <w:p w:rsidR="004B4774" w:rsidRPr="00B90B1C" w:rsidRDefault="004B4774" w:rsidP="004B4774">
      <w:pPr>
        <w:pStyle w:val="ListNumber"/>
        <w:rPr>
          <w:lang w:val="en-US"/>
        </w:rPr>
      </w:pPr>
      <w:r w:rsidRPr="00B90B1C">
        <w:rPr>
          <w:lang w:val="en-US"/>
        </w:rPr>
        <w:t>The PPG highlights the importance of taking market signals into account when assessing housing need, given they provide an indication of the balance between demand and supply. This is particularly important to consider given the significant and well-documented changes in the housing market over recent years, which were exacerbated by the economic downturn and subsequent issues in obtaining mortgage finance.</w:t>
      </w:r>
    </w:p>
    <w:p w:rsidR="004B4774" w:rsidRDefault="004B4774" w:rsidP="004B4774">
      <w:pPr>
        <w:pStyle w:val="ListNumber"/>
        <w:rPr>
          <w:lang w:val="en-US"/>
        </w:rPr>
      </w:pPr>
      <w:r w:rsidRPr="00B90B1C">
        <w:rPr>
          <w:lang w:val="en-US"/>
        </w:rPr>
        <w:t xml:space="preserve">The PPG states: </w:t>
      </w:r>
    </w:p>
    <w:p w:rsidR="004B4774" w:rsidRPr="00B90B1C" w:rsidRDefault="004B4774" w:rsidP="004B4774">
      <w:pPr>
        <w:pStyle w:val="Quote"/>
        <w:rPr>
          <w:lang w:val="en-US"/>
        </w:rPr>
      </w:pPr>
      <w:r w:rsidRPr="00B90B1C">
        <w:rPr>
          <w:lang w:val="en-US"/>
        </w:rPr>
        <w:t>The housing need number suggested by household projections (the starting point) should be adjusted to reflect appropriate market signals, as well as other market indicators of the balance between the demand for and supply of dwellings. Prices rising faster than the national/local average may well indicate particular market undersupply relative to demand.</w:t>
      </w:r>
      <w:r w:rsidRPr="00B90B1C">
        <w:rPr>
          <w:vertAlign w:val="superscript"/>
          <w:lang w:val="en-US"/>
        </w:rPr>
        <w:footnoteReference w:id="43"/>
      </w:r>
    </w:p>
    <w:p w:rsidR="004B4774" w:rsidRPr="00B90B1C" w:rsidRDefault="004B4774" w:rsidP="004B4774">
      <w:pPr>
        <w:pStyle w:val="ListNumber"/>
        <w:rPr>
          <w:lang w:val="en-US"/>
        </w:rPr>
      </w:pPr>
      <w:r w:rsidRPr="00B90B1C">
        <w:rPr>
          <w:lang w:val="en-US"/>
        </w:rPr>
        <w:t xml:space="preserve">These market signals relate to trends discernable within the housing market, and broader economic trends that have an impact on the housing market. </w:t>
      </w:r>
    </w:p>
    <w:p w:rsidR="004B4774" w:rsidRPr="00B90B1C" w:rsidRDefault="004B4774" w:rsidP="004B4774">
      <w:pPr>
        <w:pStyle w:val="ListNumber"/>
        <w:rPr>
          <w:lang w:val="en-US"/>
        </w:rPr>
      </w:pPr>
      <w:r w:rsidRPr="00B90B1C">
        <w:rPr>
          <w:lang w:val="en-US"/>
        </w:rPr>
        <w:t>The PPG goes on to assert that where there is evidence of an imbalance in supply and demand, an uplift in planned housing numbers – compared to those derived solely from household projections – is required in order to increase the supply of housing to meet demand and tackle affordability issues:</w:t>
      </w:r>
    </w:p>
    <w:p w:rsidR="004B4774" w:rsidRPr="00B90B1C" w:rsidRDefault="004B4774" w:rsidP="004B4774">
      <w:pPr>
        <w:pStyle w:val="Quote"/>
        <w:rPr>
          <w:lang w:val="en-US"/>
        </w:rPr>
      </w:pPr>
      <w:r w:rsidRPr="00B90B1C">
        <w:rPr>
          <w:lang w:val="en-US"/>
        </w:rPr>
        <w:t>This includes comparison with longer term trends (both in absolute levels and rates of change) in the: housing market area; similar demographic and economic areas; and nationally. A worsening trend in any of these indicators will require upward adjustment to planned housing numbers compared to ones based solely on household projections.</w:t>
      </w:r>
    </w:p>
    <w:p w:rsidR="004B4774" w:rsidRDefault="004B4774" w:rsidP="004B4774">
      <w:pPr>
        <w:pStyle w:val="Quote"/>
        <w:rPr>
          <w:lang w:val="en-US"/>
        </w:rPr>
      </w:pPr>
      <w:r w:rsidRPr="00B90B1C">
        <w:rPr>
          <w:lang w:val="en-US"/>
        </w:rPr>
        <w:t>In areas where an upward adjustment is required, plan makers should set this adjustment at a level that is reasonable. The more significant the affordability constraints (as reflected in rising prices and rents, and worsening affordability ratio) and the stronger other indicators of high demand (</w:t>
      </w:r>
      <w:proofErr w:type="spellStart"/>
      <w:r w:rsidRPr="00B90B1C">
        <w:rPr>
          <w:lang w:val="en-US"/>
        </w:rPr>
        <w:t>eg</w:t>
      </w:r>
      <w:proofErr w:type="spellEnd"/>
      <w:r w:rsidRPr="00B90B1C">
        <w:rPr>
          <w:lang w:val="en-US"/>
        </w:rPr>
        <w:t xml:space="preserve"> the differential between land prices), the larger the improvement in affordability needed and, therefore, the larger the additional supply response should be.</w:t>
      </w:r>
      <w:r w:rsidRPr="00B90B1C">
        <w:rPr>
          <w:vertAlign w:val="superscript"/>
          <w:lang w:val="en-US"/>
        </w:rPr>
        <w:footnoteReference w:id="44"/>
      </w:r>
    </w:p>
    <w:p w:rsidR="004B4774" w:rsidRDefault="004B4774" w:rsidP="004B4774">
      <w:pPr>
        <w:pStyle w:val="ListNumber"/>
        <w:rPr>
          <w:lang w:val="en-US"/>
        </w:rPr>
      </w:pPr>
      <w:r>
        <w:rPr>
          <w:lang w:val="en-US"/>
        </w:rPr>
        <w:t>In discussions with WWPC and CDC as to the appropriate levels of market dwellings in the NPA it will necessary to consider factors that suggest either an uplift or reduction. This study considers the following market signals:</w:t>
      </w:r>
    </w:p>
    <w:p w:rsidR="004B4774" w:rsidRPr="001F66C1" w:rsidRDefault="004B4774" w:rsidP="004B4774">
      <w:pPr>
        <w:pStyle w:val="ListNumber"/>
        <w:numPr>
          <w:ilvl w:val="0"/>
          <w:numId w:val="25"/>
        </w:numPr>
        <w:rPr>
          <w:lang w:val="en-US"/>
        </w:rPr>
      </w:pPr>
      <w:bookmarkStart w:id="149" w:name="_Hlk487978557"/>
      <w:r w:rsidRPr="001F66C1">
        <w:rPr>
          <w:lang w:val="en-US"/>
        </w:rPr>
        <w:t>Employment trends;</w:t>
      </w:r>
    </w:p>
    <w:p w:rsidR="004B4774" w:rsidRPr="001F66C1" w:rsidRDefault="004B4774" w:rsidP="004B4774">
      <w:pPr>
        <w:pStyle w:val="ListNumber"/>
        <w:numPr>
          <w:ilvl w:val="0"/>
          <w:numId w:val="25"/>
        </w:numPr>
        <w:rPr>
          <w:lang w:val="en-US"/>
        </w:rPr>
      </w:pPr>
      <w:r w:rsidRPr="001F66C1">
        <w:rPr>
          <w:lang w:val="en-US"/>
        </w:rPr>
        <w:t>Housing Market (Prices);</w:t>
      </w:r>
    </w:p>
    <w:p w:rsidR="004B4774" w:rsidRPr="001F66C1" w:rsidRDefault="004B4774" w:rsidP="004B4774">
      <w:pPr>
        <w:pStyle w:val="ListNumber"/>
        <w:numPr>
          <w:ilvl w:val="0"/>
          <w:numId w:val="25"/>
        </w:numPr>
        <w:rPr>
          <w:lang w:val="en-US"/>
        </w:rPr>
      </w:pPr>
      <w:r w:rsidRPr="001F66C1">
        <w:rPr>
          <w:lang w:val="en-US"/>
        </w:rPr>
        <w:t>Housing Market (Volume);</w:t>
      </w:r>
    </w:p>
    <w:p w:rsidR="004B4774" w:rsidRPr="001F66C1" w:rsidRDefault="004B4774" w:rsidP="004B4774">
      <w:pPr>
        <w:pStyle w:val="ListNumber"/>
        <w:numPr>
          <w:ilvl w:val="0"/>
          <w:numId w:val="25"/>
        </w:numPr>
        <w:rPr>
          <w:lang w:val="en-US"/>
        </w:rPr>
      </w:pPr>
      <w:r w:rsidRPr="001F66C1">
        <w:rPr>
          <w:lang w:val="en-US"/>
        </w:rPr>
        <w:t>Migration;</w:t>
      </w:r>
    </w:p>
    <w:p w:rsidR="004B4774" w:rsidRPr="001F66C1" w:rsidRDefault="004B4774" w:rsidP="004B4774">
      <w:pPr>
        <w:pStyle w:val="ListNumber"/>
        <w:numPr>
          <w:ilvl w:val="0"/>
          <w:numId w:val="25"/>
        </w:numPr>
        <w:rPr>
          <w:lang w:val="en-US"/>
        </w:rPr>
      </w:pPr>
      <w:r w:rsidRPr="001F66C1">
        <w:rPr>
          <w:lang w:val="en-US"/>
        </w:rPr>
        <w:t>Overcrowding</w:t>
      </w:r>
      <w:r w:rsidRPr="001F66C1">
        <w:t xml:space="preserve"> </w:t>
      </w:r>
      <w:r w:rsidRPr="001F66C1">
        <w:rPr>
          <w:lang w:val="en-US"/>
        </w:rPr>
        <w:t>and concealed families; and</w:t>
      </w:r>
    </w:p>
    <w:p w:rsidR="004B4774" w:rsidRPr="001F66C1" w:rsidRDefault="004B4774" w:rsidP="004B4774">
      <w:pPr>
        <w:pStyle w:val="ListNumber"/>
        <w:numPr>
          <w:ilvl w:val="0"/>
          <w:numId w:val="25"/>
        </w:numPr>
        <w:rPr>
          <w:lang w:val="en-US"/>
        </w:rPr>
      </w:pPr>
      <w:r w:rsidRPr="001F66C1">
        <w:rPr>
          <w:lang w:val="en-US"/>
        </w:rPr>
        <w:t>Rate of Development (changes in housing stock).</w:t>
      </w:r>
    </w:p>
    <w:p w:rsidR="004B4774" w:rsidRDefault="004B4774" w:rsidP="004B4774">
      <w:pPr>
        <w:pStyle w:val="Heading2"/>
        <w:rPr>
          <w:lang w:val="en-US"/>
        </w:rPr>
      </w:pPr>
      <w:bookmarkStart w:id="150" w:name="_Toc495920030"/>
      <w:bookmarkStart w:id="151" w:name="_Toc504464748"/>
      <w:r>
        <w:rPr>
          <w:lang w:val="en-US"/>
        </w:rPr>
        <w:t>Employment and commuting trends</w:t>
      </w:r>
      <w:bookmarkEnd w:id="150"/>
      <w:bookmarkEnd w:id="151"/>
    </w:p>
    <w:p w:rsidR="004B4774" w:rsidRPr="00CE4FC1" w:rsidRDefault="004B4774" w:rsidP="004B4774">
      <w:pPr>
        <w:pStyle w:val="ListNumber"/>
        <w:rPr>
          <w:lang w:val="en-US"/>
        </w:rPr>
      </w:pPr>
      <w:r w:rsidRPr="00BF41E1">
        <w:t>Local employment trends can greatly influence housing needs as employment opportunities can stimulate demand in the plan area. It is therefore important to establish the employment sphere of influence experienced by the residents of the</w:t>
      </w:r>
      <w:r>
        <w:t xml:space="preserve"> West Wittering NPA.</w:t>
      </w:r>
    </w:p>
    <w:p w:rsidR="004B4774" w:rsidRPr="006A2469" w:rsidRDefault="004B4774" w:rsidP="004B4774">
      <w:pPr>
        <w:pStyle w:val="ListNumber"/>
        <w:rPr>
          <w:lang w:val="en-US"/>
        </w:rPr>
      </w:pPr>
      <w:r>
        <w:t xml:space="preserve">The Coast to Capital Economic Area is characterised by </w:t>
      </w:r>
      <w:r w:rsidRPr="004A4BFC">
        <w:t>a creative, digital and IT cluster centred on Brighton, a large financial and business services sector, an advanced manufa</w:t>
      </w:r>
      <w:r>
        <w:t xml:space="preserve">cturing and engineering sector as well as </w:t>
      </w:r>
      <w:r w:rsidRPr="004A4BFC">
        <w:t>a strong network of health and life science companies throughout the region.</w:t>
      </w:r>
      <w:r>
        <w:t xml:space="preserve"> The Coast to Capital Local Enterprise Partnership also identifies the presence of a number of global companies across a range of sectors, some with their own research capability as well as a few strong sectors in enabling and growth technologies (digital, electronics and medical)</w:t>
      </w:r>
      <w:r w:rsidR="00C462FD">
        <w:t>.</w:t>
      </w:r>
      <w:r>
        <w:rPr>
          <w:rStyle w:val="FootnoteReference"/>
        </w:rPr>
        <w:footnoteReference w:id="45"/>
      </w:r>
    </w:p>
    <w:p w:rsidR="004B4774" w:rsidRPr="005545E0" w:rsidRDefault="004B4774" w:rsidP="004B4774">
      <w:pPr>
        <w:pStyle w:val="ListNumber"/>
        <w:rPr>
          <w:lang w:val="en-US"/>
        </w:rPr>
      </w:pPr>
      <w:r w:rsidRPr="003D6B50">
        <w:rPr>
          <w:lang w:val="en-US"/>
        </w:rPr>
        <w:lastRenderedPageBreak/>
        <w:t xml:space="preserve">The majority of existing employment and business space </w:t>
      </w:r>
      <w:r>
        <w:rPr>
          <w:lang w:val="en-US"/>
        </w:rPr>
        <w:t xml:space="preserve">in </w:t>
      </w:r>
      <w:proofErr w:type="spellStart"/>
      <w:r>
        <w:rPr>
          <w:lang w:val="en-US"/>
        </w:rPr>
        <w:t>Chichester</w:t>
      </w:r>
      <w:proofErr w:type="spellEnd"/>
      <w:r>
        <w:rPr>
          <w:lang w:val="en-US"/>
        </w:rPr>
        <w:t xml:space="preserve"> </w:t>
      </w:r>
      <w:r w:rsidRPr="003D6B50">
        <w:rPr>
          <w:lang w:val="en-US"/>
        </w:rPr>
        <w:t>is focused around</w:t>
      </w:r>
      <w:r>
        <w:rPr>
          <w:lang w:val="en-US"/>
        </w:rPr>
        <w:t xml:space="preserve"> </w:t>
      </w:r>
      <w:proofErr w:type="spellStart"/>
      <w:r w:rsidRPr="006A2469">
        <w:rPr>
          <w:lang w:val="en-US"/>
        </w:rPr>
        <w:t>Chichester</w:t>
      </w:r>
      <w:proofErr w:type="spellEnd"/>
      <w:r w:rsidRPr="006A2469">
        <w:rPr>
          <w:lang w:val="en-US"/>
        </w:rPr>
        <w:t xml:space="preserve"> city and the A27 corridor</w:t>
      </w:r>
      <w:r>
        <w:rPr>
          <w:rStyle w:val="FootnoteReference"/>
          <w:lang w:val="en-US"/>
        </w:rPr>
        <w:footnoteReference w:id="46"/>
      </w:r>
      <w:r w:rsidRPr="006A2469">
        <w:rPr>
          <w:lang w:val="en-US"/>
        </w:rPr>
        <w:t>.</w:t>
      </w:r>
      <w:r>
        <w:rPr>
          <w:lang w:val="en-US"/>
        </w:rPr>
        <w:t xml:space="preserve"> </w:t>
      </w:r>
      <w:r w:rsidRPr="005545E0">
        <w:rPr>
          <w:lang w:val="en-US"/>
        </w:rPr>
        <w:t xml:space="preserve">The </w:t>
      </w:r>
      <w:proofErr w:type="spellStart"/>
      <w:r w:rsidRPr="005545E0">
        <w:rPr>
          <w:lang w:val="en-US"/>
        </w:rPr>
        <w:t>Chichester</w:t>
      </w:r>
      <w:proofErr w:type="spellEnd"/>
      <w:r w:rsidRPr="005545E0">
        <w:rPr>
          <w:lang w:val="en-US"/>
        </w:rPr>
        <w:t xml:space="preserve"> Employment Land Review Update (ELR) identifies a potential growth</w:t>
      </w:r>
      <w:r>
        <w:rPr>
          <w:lang w:val="en-US"/>
        </w:rPr>
        <w:t xml:space="preserve"> </w:t>
      </w:r>
      <w:r w:rsidRPr="005545E0">
        <w:rPr>
          <w:lang w:val="en-US"/>
        </w:rPr>
        <w:t xml:space="preserve">in the </w:t>
      </w:r>
      <w:r w:rsidR="005F5CF8">
        <w:rPr>
          <w:lang w:val="en-US"/>
        </w:rPr>
        <w:t>District</w:t>
      </w:r>
      <w:r w:rsidRPr="005545E0">
        <w:rPr>
          <w:lang w:val="en-US"/>
        </w:rPr>
        <w:t xml:space="preserve">'s </w:t>
      </w:r>
      <w:proofErr w:type="spellStart"/>
      <w:r w:rsidRPr="005545E0">
        <w:rPr>
          <w:lang w:val="en-US"/>
        </w:rPr>
        <w:t>labour</w:t>
      </w:r>
      <w:proofErr w:type="spellEnd"/>
      <w:r w:rsidRPr="005545E0">
        <w:rPr>
          <w:lang w:val="en-US"/>
        </w:rPr>
        <w:t xml:space="preserve"> force of around 3,200 over the period 2011-29</w:t>
      </w:r>
      <w:r>
        <w:rPr>
          <w:rStyle w:val="FootnoteReference"/>
          <w:lang w:val="en-US"/>
        </w:rPr>
        <w:footnoteReference w:id="47"/>
      </w:r>
      <w:r>
        <w:rPr>
          <w:lang w:val="en-US"/>
        </w:rPr>
        <w:t xml:space="preserve">. </w:t>
      </w:r>
      <w:r w:rsidRPr="00CD24A9">
        <w:rPr>
          <w:lang w:eastAsia="en-GB"/>
        </w:rPr>
        <w:t xml:space="preserve">Such employment growth </w:t>
      </w:r>
      <w:r>
        <w:rPr>
          <w:lang w:eastAsia="en-GB"/>
        </w:rPr>
        <w:t xml:space="preserve">in the </w:t>
      </w:r>
      <w:r w:rsidR="005F5CF8">
        <w:rPr>
          <w:lang w:eastAsia="en-GB"/>
        </w:rPr>
        <w:t>District</w:t>
      </w:r>
      <w:r>
        <w:rPr>
          <w:lang w:eastAsia="en-GB"/>
        </w:rPr>
        <w:t xml:space="preserve"> is likely to </w:t>
      </w:r>
      <w:r w:rsidRPr="00CD24A9">
        <w:rPr>
          <w:lang w:eastAsia="en-GB"/>
        </w:rPr>
        <w:t>bring with i</w:t>
      </w:r>
      <w:r>
        <w:rPr>
          <w:lang w:eastAsia="en-GB"/>
        </w:rPr>
        <w:t xml:space="preserve">t an increase in demand for housing at West Wittering in the future. </w:t>
      </w:r>
      <w:r>
        <w:rPr>
          <w:lang w:val="en-US"/>
        </w:rPr>
        <w:t xml:space="preserve">In service villages such as West </w:t>
      </w:r>
      <w:proofErr w:type="spellStart"/>
      <w:r>
        <w:rPr>
          <w:lang w:val="en-US"/>
        </w:rPr>
        <w:t>Wittering</w:t>
      </w:r>
      <w:proofErr w:type="spellEnd"/>
      <w:r>
        <w:rPr>
          <w:lang w:val="en-US"/>
        </w:rPr>
        <w:t>, the CLP states that provision will be made for s</w:t>
      </w:r>
      <w:r w:rsidRPr="002D2284">
        <w:rPr>
          <w:lang w:val="en-US"/>
        </w:rPr>
        <w:t>mall scale employmen</w:t>
      </w:r>
      <w:r>
        <w:rPr>
          <w:lang w:val="en-US"/>
        </w:rPr>
        <w:t>t, tourism or leisure proposals</w:t>
      </w:r>
      <w:r w:rsidR="001157B7">
        <w:rPr>
          <w:lang w:val="en-US"/>
        </w:rPr>
        <w:t>.</w:t>
      </w:r>
      <w:r>
        <w:rPr>
          <w:rStyle w:val="FootnoteReference"/>
          <w:lang w:val="en-US"/>
        </w:rPr>
        <w:footnoteReference w:id="48"/>
      </w:r>
    </w:p>
    <w:p w:rsidR="004B4774" w:rsidRPr="0068406A" w:rsidRDefault="00B25544" w:rsidP="004B4774">
      <w:pPr>
        <w:pStyle w:val="ListNumber"/>
        <w:rPr>
          <w:lang w:val="en-US"/>
        </w:rPr>
      </w:pPr>
      <w:r>
        <w:rPr>
          <w:rFonts w:ascii="Arial" w:hAnsi="Arial" w:cs="Arial"/>
          <w:szCs w:val="20"/>
          <w:lang w:val="en-US"/>
        </w:rPr>
        <w:fldChar w:fldCharType="begin"/>
      </w:r>
      <w:r>
        <w:rPr>
          <w:rFonts w:ascii="Arial" w:hAnsi="Arial" w:cs="Arial"/>
          <w:szCs w:val="20"/>
          <w:lang w:val="en-US"/>
        </w:rPr>
        <w:instrText xml:space="preserve"> REF _Ref495413771 \h </w:instrText>
      </w:r>
      <w:r>
        <w:rPr>
          <w:rFonts w:ascii="Arial" w:hAnsi="Arial" w:cs="Arial"/>
          <w:szCs w:val="20"/>
          <w:lang w:val="en-US"/>
        </w:rPr>
      </w:r>
      <w:r>
        <w:rPr>
          <w:rFonts w:ascii="Arial" w:hAnsi="Arial" w:cs="Arial"/>
          <w:szCs w:val="20"/>
          <w:lang w:val="en-US"/>
        </w:rPr>
        <w:fldChar w:fldCharType="separate"/>
      </w:r>
      <w:r>
        <w:t xml:space="preserve">Table </w:t>
      </w:r>
      <w:r>
        <w:rPr>
          <w:noProof/>
        </w:rPr>
        <w:t>20</w:t>
      </w:r>
      <w:r>
        <w:rPr>
          <w:rFonts w:ascii="Arial" w:hAnsi="Arial" w:cs="Arial"/>
          <w:szCs w:val="20"/>
          <w:lang w:val="en-US"/>
        </w:rPr>
        <w:fldChar w:fldCharType="end"/>
      </w:r>
      <w:r w:rsidR="004B4774">
        <w:rPr>
          <w:rFonts w:ascii="Arial" w:hAnsi="Arial" w:cs="Arial"/>
          <w:szCs w:val="20"/>
          <w:lang w:val="en-US"/>
        </w:rPr>
        <w:t xml:space="preserve"> </w:t>
      </w:r>
      <w:r w:rsidR="004B4774" w:rsidRPr="00BF41E1">
        <w:rPr>
          <w:rFonts w:ascii="Arial" w:hAnsi="Arial" w:cs="Arial"/>
          <w:szCs w:val="20"/>
        </w:rPr>
        <w:t>shows that</w:t>
      </w:r>
      <w:r w:rsidR="004B4774">
        <w:rPr>
          <w:rFonts w:ascii="Arial" w:hAnsi="Arial" w:cs="Arial"/>
          <w:szCs w:val="20"/>
        </w:rPr>
        <w:t xml:space="preserve"> the 2011 rate of employment in West Wittering, at 59.6% is significantly lower than that of Chichester and England as a whole. The proportion of full-time employees in West Wittering (23.7%) is 10.7 percentage points lower than across Chichester (34.4%) while the proportion of retirees in West Wittering (29.8%) is 11.6 percentage points greater than across Chichester (18.2%).</w:t>
      </w:r>
      <w:r w:rsidR="004B4774" w:rsidRPr="009D237A">
        <w:rPr>
          <w:lang w:val="en-US"/>
        </w:rPr>
        <w:t xml:space="preserve"> </w:t>
      </w:r>
    </w:p>
    <w:p w:rsidR="004B4774" w:rsidRPr="00CA66E4" w:rsidRDefault="004B4774" w:rsidP="004B4774">
      <w:pPr>
        <w:pStyle w:val="Caption"/>
      </w:pPr>
      <w:bookmarkStart w:id="152" w:name="_Ref495413771"/>
      <w:bookmarkStart w:id="153" w:name="_Toc488669616"/>
      <w:bookmarkStart w:id="154" w:name="_Toc495920050"/>
      <w:r>
        <w:t xml:space="preserve">Table </w:t>
      </w:r>
      <w:fldSimple w:instr=" SEQ Table \* ARABIC ">
        <w:r w:rsidR="00B25544">
          <w:rPr>
            <w:noProof/>
          </w:rPr>
          <w:t>20</w:t>
        </w:r>
      </w:fldSimple>
      <w:bookmarkEnd w:id="152"/>
      <w:r>
        <w:t xml:space="preserve">: </w:t>
      </w:r>
      <w:r w:rsidRPr="009712F1">
        <w:t xml:space="preserve">Economic activity in </w:t>
      </w:r>
      <w:r>
        <w:t>West Wittering</w:t>
      </w:r>
      <w:r w:rsidRPr="009712F1">
        <w:t>, 2011</w:t>
      </w:r>
      <w:bookmarkEnd w:id="153"/>
      <w:bookmarkEnd w:id="154"/>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1"/>
        <w:gridCol w:w="1560"/>
        <w:gridCol w:w="1275"/>
        <w:gridCol w:w="1276"/>
      </w:tblGrid>
      <w:tr w:rsidR="004B4774" w:rsidRPr="00BB3DC2" w:rsidTr="009A5A02">
        <w:trPr>
          <w:trHeight w:val="288"/>
        </w:trPr>
        <w:tc>
          <w:tcPr>
            <w:tcW w:w="1985" w:type="dxa"/>
            <w:shd w:val="clear" w:color="auto" w:fill="000000" w:themeFill="text1"/>
            <w:noWrap/>
            <w:vAlign w:val="bottom"/>
            <w:hideMark/>
          </w:tcPr>
          <w:p w:rsidR="004B4774" w:rsidRPr="00BB3DC2" w:rsidRDefault="004B4774" w:rsidP="009A5A02">
            <w:pPr>
              <w:tabs>
                <w:tab w:val="clear" w:pos="284"/>
              </w:tabs>
              <w:spacing w:line="240" w:lineRule="auto"/>
              <w:rPr>
                <w:rFonts w:eastAsia="Times New Roman" w:cstheme="minorHAnsi"/>
                <w:b/>
                <w:bCs/>
                <w:color w:val="FFFFFF" w:themeColor="background1"/>
                <w:kern w:val="0"/>
                <w:lang w:eastAsia="en-GB"/>
              </w:rPr>
            </w:pPr>
            <w:r w:rsidRPr="00BB3DC2">
              <w:rPr>
                <w:rFonts w:eastAsia="Times New Roman" w:cstheme="minorHAnsi"/>
                <w:b/>
                <w:bCs/>
                <w:color w:val="FFFFFF" w:themeColor="background1"/>
                <w:kern w:val="0"/>
                <w:lang w:eastAsia="en-GB"/>
              </w:rPr>
              <w:t>Economic category</w:t>
            </w:r>
          </w:p>
        </w:tc>
        <w:tc>
          <w:tcPr>
            <w:tcW w:w="2551" w:type="dxa"/>
            <w:shd w:val="clear" w:color="auto" w:fill="000000" w:themeFill="text1"/>
            <w:noWrap/>
            <w:vAlign w:val="bottom"/>
            <w:hideMark/>
          </w:tcPr>
          <w:p w:rsidR="004B4774" w:rsidRPr="00BB3DC2" w:rsidRDefault="004B4774" w:rsidP="009A5A02">
            <w:pPr>
              <w:tabs>
                <w:tab w:val="clear" w:pos="284"/>
              </w:tabs>
              <w:spacing w:line="240" w:lineRule="auto"/>
              <w:rPr>
                <w:rFonts w:eastAsia="Times New Roman" w:cstheme="minorHAnsi"/>
                <w:b/>
                <w:bCs/>
                <w:color w:val="FFFFFF" w:themeColor="background1"/>
                <w:kern w:val="0"/>
                <w:lang w:eastAsia="en-GB"/>
              </w:rPr>
            </w:pPr>
          </w:p>
        </w:tc>
        <w:tc>
          <w:tcPr>
            <w:tcW w:w="1560" w:type="dxa"/>
            <w:shd w:val="clear" w:color="auto" w:fill="000000" w:themeFill="text1"/>
            <w:noWrap/>
            <w:vAlign w:val="bottom"/>
            <w:hideMark/>
          </w:tcPr>
          <w:p w:rsidR="004B4774" w:rsidRPr="00BB3DC2" w:rsidRDefault="004B4774" w:rsidP="009A5A02">
            <w:pPr>
              <w:tabs>
                <w:tab w:val="clear" w:pos="284"/>
              </w:tabs>
              <w:spacing w:line="240" w:lineRule="auto"/>
              <w:jc w:val="center"/>
              <w:rPr>
                <w:rFonts w:eastAsia="Times New Roman" w:cstheme="minorHAnsi"/>
                <w:b/>
                <w:bCs/>
                <w:color w:val="FFFFFF" w:themeColor="background1"/>
                <w:kern w:val="0"/>
                <w:lang w:eastAsia="en-GB"/>
              </w:rPr>
            </w:pPr>
            <w:r w:rsidRPr="00BB3DC2">
              <w:rPr>
                <w:rFonts w:eastAsia="Times New Roman" w:cstheme="minorHAnsi"/>
                <w:b/>
                <w:bCs/>
                <w:color w:val="FFFFFF" w:themeColor="background1"/>
                <w:kern w:val="0"/>
                <w:lang w:eastAsia="en-GB"/>
              </w:rPr>
              <w:t>West Wittering</w:t>
            </w:r>
          </w:p>
        </w:tc>
        <w:tc>
          <w:tcPr>
            <w:tcW w:w="1275" w:type="dxa"/>
            <w:shd w:val="clear" w:color="auto" w:fill="000000" w:themeFill="text1"/>
            <w:noWrap/>
            <w:vAlign w:val="bottom"/>
            <w:hideMark/>
          </w:tcPr>
          <w:p w:rsidR="004B4774" w:rsidRPr="00BB3DC2" w:rsidRDefault="004B4774" w:rsidP="009A5A02">
            <w:pPr>
              <w:tabs>
                <w:tab w:val="clear" w:pos="284"/>
              </w:tabs>
              <w:spacing w:line="240" w:lineRule="auto"/>
              <w:jc w:val="center"/>
              <w:rPr>
                <w:rFonts w:eastAsia="Times New Roman" w:cstheme="minorHAnsi"/>
                <w:b/>
                <w:bCs/>
                <w:color w:val="FFFFFF" w:themeColor="background1"/>
                <w:kern w:val="0"/>
                <w:lang w:eastAsia="en-GB"/>
              </w:rPr>
            </w:pPr>
            <w:r w:rsidRPr="00BB3DC2">
              <w:rPr>
                <w:rFonts w:eastAsia="Times New Roman" w:cstheme="minorHAnsi"/>
                <w:b/>
                <w:bCs/>
                <w:color w:val="FFFFFF" w:themeColor="background1"/>
                <w:kern w:val="0"/>
                <w:lang w:eastAsia="en-GB"/>
              </w:rPr>
              <w:t>Chichester</w:t>
            </w:r>
          </w:p>
        </w:tc>
        <w:tc>
          <w:tcPr>
            <w:tcW w:w="1276" w:type="dxa"/>
            <w:shd w:val="clear" w:color="auto" w:fill="000000" w:themeFill="text1"/>
            <w:vAlign w:val="bottom"/>
          </w:tcPr>
          <w:p w:rsidR="004B4774" w:rsidRPr="00F322B8" w:rsidRDefault="004B4774" w:rsidP="009A5A02">
            <w:pPr>
              <w:tabs>
                <w:tab w:val="clear" w:pos="284"/>
              </w:tabs>
              <w:spacing w:line="240" w:lineRule="auto"/>
              <w:jc w:val="center"/>
              <w:rPr>
                <w:rFonts w:eastAsia="Times New Roman" w:cstheme="minorHAnsi"/>
                <w:b/>
                <w:bCs/>
                <w:color w:val="FFFFFF" w:themeColor="background1"/>
                <w:kern w:val="0"/>
                <w:lang w:eastAsia="en-GB"/>
              </w:rPr>
            </w:pPr>
            <w:r w:rsidRPr="00F322B8">
              <w:rPr>
                <w:rFonts w:eastAsia="Times New Roman" w:cstheme="minorHAnsi"/>
                <w:b/>
                <w:bCs/>
                <w:color w:val="FFFFFF" w:themeColor="background1"/>
                <w:kern w:val="0"/>
                <w:lang w:eastAsia="en-GB"/>
              </w:rPr>
              <w:t>England</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Economically active</w:t>
            </w: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Total</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59.6%</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69.2%</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69.9%</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Employee: Full-time</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23.7%</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34.4%</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13.7%</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 xml:space="preserve">Employee: Part-time </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14.1%</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14.0%</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38.6%</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Self-employed</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17.4%</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14.5%</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9.8%</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Unemployed</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2.7%</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2.8%</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4.4%</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Full-time student</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1.6%</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3.5%</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3.4%</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Economically inactive</w:t>
            </w: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Total</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40.4%</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30.8%</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30.1%</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Retired</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29.8%</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18.2%</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13.7%</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Student</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2.2%</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4.4%</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5.8%</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Looking after home or family</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4.3%</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4.2%</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4.4%</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Long-term sick or disabled</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2.2%</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2.4%</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4.1%</w:t>
            </w:r>
          </w:p>
        </w:tc>
      </w:tr>
      <w:tr w:rsidR="004B4774" w:rsidRPr="00BB3DC2" w:rsidTr="009A5A02">
        <w:trPr>
          <w:trHeight w:val="288"/>
        </w:trPr>
        <w:tc>
          <w:tcPr>
            <w:tcW w:w="1985"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p>
        </w:tc>
        <w:tc>
          <w:tcPr>
            <w:tcW w:w="2551" w:type="dxa"/>
            <w:shd w:val="clear" w:color="auto" w:fill="D9D9D9" w:themeFill="background2" w:themeFillShade="D9"/>
            <w:noWrap/>
            <w:vAlign w:val="bottom"/>
            <w:hideMark/>
          </w:tcPr>
          <w:p w:rsidR="004B4774" w:rsidRPr="00BB3DC2" w:rsidRDefault="004B4774" w:rsidP="009A5A02">
            <w:pPr>
              <w:tabs>
                <w:tab w:val="clear" w:pos="284"/>
              </w:tabs>
              <w:spacing w:line="240" w:lineRule="auto"/>
              <w:rPr>
                <w:rFonts w:eastAsia="Times New Roman" w:cstheme="minorHAnsi"/>
                <w:color w:val="000000"/>
                <w:kern w:val="0"/>
                <w:lang w:eastAsia="en-GB"/>
              </w:rPr>
            </w:pPr>
            <w:r w:rsidRPr="00BB3DC2">
              <w:rPr>
                <w:rFonts w:eastAsia="Times New Roman" w:cstheme="minorHAnsi"/>
                <w:color w:val="000000"/>
                <w:kern w:val="0"/>
                <w:lang w:eastAsia="en-GB"/>
              </w:rPr>
              <w:t>Other</w:t>
            </w:r>
          </w:p>
        </w:tc>
        <w:tc>
          <w:tcPr>
            <w:tcW w:w="1560"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1.9%</w:t>
            </w:r>
          </w:p>
        </w:tc>
        <w:tc>
          <w:tcPr>
            <w:tcW w:w="1275" w:type="dxa"/>
            <w:shd w:val="clear" w:color="auto" w:fill="auto"/>
            <w:noWrap/>
            <w:vAlign w:val="bottom"/>
            <w:hideMark/>
          </w:tcPr>
          <w:p w:rsidR="004B4774" w:rsidRPr="00BB3DC2"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1.5%</w:t>
            </w:r>
          </w:p>
        </w:tc>
        <w:tc>
          <w:tcPr>
            <w:tcW w:w="1276" w:type="dxa"/>
            <w:vAlign w:val="bottom"/>
          </w:tcPr>
          <w:p w:rsidR="004B4774" w:rsidRPr="00F322B8" w:rsidRDefault="004B4774" w:rsidP="009A5A02">
            <w:pPr>
              <w:tabs>
                <w:tab w:val="clear" w:pos="284"/>
              </w:tabs>
              <w:spacing w:line="240" w:lineRule="auto"/>
              <w:jc w:val="right"/>
              <w:rPr>
                <w:rFonts w:eastAsia="Times New Roman" w:cstheme="minorHAnsi"/>
                <w:color w:val="000000"/>
                <w:kern w:val="0"/>
                <w:lang w:eastAsia="en-GB"/>
              </w:rPr>
            </w:pPr>
            <w:r w:rsidRPr="00F322B8">
              <w:rPr>
                <w:rFonts w:cstheme="minorHAnsi"/>
                <w:color w:val="000000"/>
              </w:rPr>
              <w:t>2.2%</w:t>
            </w:r>
          </w:p>
        </w:tc>
      </w:tr>
    </w:tbl>
    <w:p w:rsidR="004B4774" w:rsidRDefault="004B4774" w:rsidP="004B4774">
      <w:pPr>
        <w:pStyle w:val="Source"/>
      </w:pPr>
      <w:r w:rsidRPr="007552D4">
        <w:t xml:space="preserve">Source: ONS Census 2011, AECOM </w:t>
      </w:r>
      <w:r w:rsidR="001157B7">
        <w:t>c</w:t>
      </w:r>
      <w:r w:rsidRPr="007552D4">
        <w:t>alculations</w:t>
      </w:r>
      <w:bookmarkStart w:id="155" w:name="_Ref495415072"/>
      <w:r w:rsidRPr="000774A9">
        <w:t xml:space="preserve"> </w:t>
      </w:r>
    </w:p>
    <w:p w:rsidR="004B4774" w:rsidRPr="00BE2D52" w:rsidRDefault="00B25544" w:rsidP="004B4774">
      <w:pPr>
        <w:pStyle w:val="ListNumber"/>
      </w:pPr>
      <w:r>
        <w:rPr>
          <w:lang w:val="en-US"/>
        </w:rPr>
        <w:fldChar w:fldCharType="begin"/>
      </w:r>
      <w:r>
        <w:rPr>
          <w:lang w:val="en-US"/>
        </w:rPr>
        <w:instrText xml:space="preserve"> REF _Ref504465279 \h </w:instrText>
      </w:r>
      <w:r>
        <w:rPr>
          <w:lang w:val="en-US"/>
        </w:rPr>
      </w:r>
      <w:r>
        <w:rPr>
          <w:lang w:val="en-US"/>
        </w:rPr>
        <w:fldChar w:fldCharType="separate"/>
      </w:r>
      <w:r>
        <w:t xml:space="preserve">Table </w:t>
      </w:r>
      <w:r>
        <w:rPr>
          <w:noProof/>
        </w:rPr>
        <w:t>21</w:t>
      </w:r>
      <w:r>
        <w:rPr>
          <w:lang w:val="en-US"/>
        </w:rPr>
        <w:fldChar w:fldCharType="end"/>
      </w:r>
      <w:r w:rsidR="004B4774">
        <w:rPr>
          <w:lang w:val="en-US"/>
        </w:rPr>
        <w:t xml:space="preserve"> shows that </w:t>
      </w:r>
      <w:r w:rsidR="004B4774">
        <w:t xml:space="preserve">the average distance travelled to work by the West Wittering residents is comparatively high (24.1km). </w:t>
      </w:r>
      <w:proofErr w:type="spellStart"/>
      <w:r w:rsidR="004B4774">
        <w:rPr>
          <w:lang w:val="en-US"/>
        </w:rPr>
        <w:t>Chichester</w:t>
      </w:r>
      <w:proofErr w:type="spellEnd"/>
      <w:r w:rsidR="004B4774">
        <w:rPr>
          <w:lang w:val="en-US"/>
        </w:rPr>
        <w:t xml:space="preserve"> City currently provides a broad range of employment and it is assumed there are strong links between West </w:t>
      </w:r>
      <w:proofErr w:type="spellStart"/>
      <w:r w:rsidR="004B4774">
        <w:rPr>
          <w:lang w:val="en-US"/>
        </w:rPr>
        <w:t>Wittering</w:t>
      </w:r>
      <w:proofErr w:type="spellEnd"/>
      <w:r w:rsidR="004B4774">
        <w:rPr>
          <w:lang w:val="en-US"/>
        </w:rPr>
        <w:t xml:space="preserve"> and </w:t>
      </w:r>
      <w:proofErr w:type="spellStart"/>
      <w:r w:rsidR="004B4774">
        <w:rPr>
          <w:lang w:val="en-US"/>
        </w:rPr>
        <w:t>Chichester</w:t>
      </w:r>
      <w:proofErr w:type="spellEnd"/>
      <w:r w:rsidR="004B4774">
        <w:rPr>
          <w:lang w:val="en-US"/>
        </w:rPr>
        <w:t xml:space="preserve"> in terms of employment as West </w:t>
      </w:r>
      <w:proofErr w:type="spellStart"/>
      <w:r w:rsidR="004B4774">
        <w:rPr>
          <w:lang w:val="en-US"/>
        </w:rPr>
        <w:t>Wittering</w:t>
      </w:r>
      <w:proofErr w:type="spellEnd"/>
      <w:r w:rsidR="004B4774">
        <w:rPr>
          <w:lang w:val="en-US"/>
        </w:rPr>
        <w:t xml:space="preserve"> is located within </w:t>
      </w:r>
      <w:proofErr w:type="spellStart"/>
      <w:r w:rsidR="004B4774" w:rsidRPr="0031672C">
        <w:rPr>
          <w:lang w:val="en-US"/>
        </w:rPr>
        <w:t>Chichester</w:t>
      </w:r>
      <w:proofErr w:type="spellEnd"/>
      <w:r w:rsidR="004B4774" w:rsidRPr="0031672C">
        <w:rPr>
          <w:lang w:val="en-US"/>
        </w:rPr>
        <w:t xml:space="preserve"> and </w:t>
      </w:r>
      <w:proofErr w:type="spellStart"/>
      <w:r w:rsidR="004B4774" w:rsidRPr="0031672C">
        <w:rPr>
          <w:lang w:val="en-US"/>
        </w:rPr>
        <w:t>Bognor</w:t>
      </w:r>
      <w:proofErr w:type="spellEnd"/>
      <w:r w:rsidR="004B4774" w:rsidRPr="0031672C">
        <w:rPr>
          <w:lang w:val="en-US"/>
        </w:rPr>
        <w:t xml:space="preserve"> Regis</w:t>
      </w:r>
      <w:r w:rsidR="004B4774">
        <w:rPr>
          <w:lang w:val="en-US"/>
        </w:rPr>
        <w:t xml:space="preserve"> Travel </w:t>
      </w:r>
      <w:proofErr w:type="gramStart"/>
      <w:r w:rsidR="004B4774">
        <w:rPr>
          <w:lang w:val="en-US"/>
        </w:rPr>
        <w:t>To</w:t>
      </w:r>
      <w:proofErr w:type="gramEnd"/>
      <w:r w:rsidR="004B4774">
        <w:rPr>
          <w:lang w:val="en-US"/>
        </w:rPr>
        <w:t xml:space="preserve"> Work Area (TTWA). Moreover, the table</w:t>
      </w:r>
      <w:r w:rsidR="004B4774" w:rsidRPr="001409C2">
        <w:rPr>
          <w:lang w:val="en-US"/>
        </w:rPr>
        <w:t xml:space="preserve"> shows that </w:t>
      </w:r>
      <w:r w:rsidR="004B4774">
        <w:t xml:space="preserve">a significant proportion of the economically active residents in West Wittering work mainly at or from home (22.5%). </w:t>
      </w:r>
    </w:p>
    <w:p w:rsidR="004B4774" w:rsidRPr="007552D4" w:rsidRDefault="004B4774" w:rsidP="004B4774">
      <w:pPr>
        <w:pStyle w:val="Caption"/>
      </w:pPr>
      <w:bookmarkStart w:id="156" w:name="_Ref504465279"/>
      <w:bookmarkStart w:id="157" w:name="_Toc495920051"/>
      <w:r>
        <w:t xml:space="preserve">Table </w:t>
      </w:r>
      <w:fldSimple w:instr=" SEQ Table \* ARABIC ">
        <w:r w:rsidR="00B25544">
          <w:rPr>
            <w:noProof/>
          </w:rPr>
          <w:t>21</w:t>
        </w:r>
      </w:fldSimple>
      <w:bookmarkEnd w:id="155"/>
      <w:bookmarkEnd w:id="156"/>
      <w:r>
        <w:t>: Distance to work</w:t>
      </w:r>
      <w:r w:rsidRPr="009712F1">
        <w:t>, 2011</w:t>
      </w:r>
      <w:bookmarkEnd w:id="157"/>
    </w:p>
    <w:tbl>
      <w:tblPr>
        <w:tblW w:w="8662" w:type="dxa"/>
        <w:tblInd w:w="93" w:type="dxa"/>
        <w:tblLook w:val="04A0" w:firstRow="1" w:lastRow="0" w:firstColumn="1" w:lastColumn="0" w:noHBand="0" w:noVBand="1"/>
      </w:tblPr>
      <w:tblGrid>
        <w:gridCol w:w="2992"/>
        <w:gridCol w:w="1985"/>
        <w:gridCol w:w="1842"/>
        <w:gridCol w:w="1843"/>
      </w:tblGrid>
      <w:tr w:rsidR="004B4774" w:rsidRPr="003471D1" w:rsidTr="009A5A02">
        <w:trPr>
          <w:trHeight w:val="288"/>
        </w:trPr>
        <w:tc>
          <w:tcPr>
            <w:tcW w:w="2992" w:type="dxa"/>
            <w:tcBorders>
              <w:top w:val="nil"/>
              <w:left w:val="single" w:sz="4" w:space="0" w:color="auto"/>
              <w:bottom w:val="single" w:sz="4" w:space="0" w:color="auto"/>
              <w:right w:val="single" w:sz="4" w:space="0" w:color="auto"/>
            </w:tcBorders>
            <w:shd w:val="clear" w:color="auto" w:fill="000000" w:themeFill="text1"/>
            <w:noWrap/>
            <w:vAlign w:val="bottom"/>
            <w:hideMark/>
          </w:tcPr>
          <w:p w:rsidR="004B4774" w:rsidRPr="003904B9" w:rsidRDefault="004B4774" w:rsidP="009A5A02">
            <w:pPr>
              <w:spacing w:line="240" w:lineRule="auto"/>
              <w:jc w:val="center"/>
              <w:rPr>
                <w:rFonts w:ascii="Arial" w:eastAsia="Times New Roman" w:hAnsi="Arial" w:cs="Arial"/>
                <w:iCs/>
                <w:color w:val="FFFFFF" w:themeColor="background1"/>
                <w:lang w:eastAsia="en-GB"/>
              </w:rPr>
            </w:pPr>
            <w:r w:rsidRPr="003904B9">
              <w:rPr>
                <w:rFonts w:ascii="Arial" w:eastAsia="Times New Roman" w:hAnsi="Arial" w:cs="Arial"/>
                <w:iCs/>
                <w:color w:val="FFFFFF" w:themeColor="background1"/>
                <w:lang w:eastAsia="en-GB"/>
              </w:rPr>
              <w:t>Location of work</w:t>
            </w:r>
          </w:p>
        </w:tc>
        <w:tc>
          <w:tcPr>
            <w:tcW w:w="1985" w:type="dxa"/>
            <w:tcBorders>
              <w:top w:val="nil"/>
              <w:left w:val="nil"/>
              <w:bottom w:val="single" w:sz="4" w:space="0" w:color="auto"/>
              <w:right w:val="single" w:sz="4" w:space="0" w:color="auto"/>
            </w:tcBorders>
            <w:shd w:val="clear" w:color="auto" w:fill="000000" w:themeFill="text1"/>
            <w:noWrap/>
            <w:vAlign w:val="bottom"/>
            <w:hideMark/>
          </w:tcPr>
          <w:p w:rsidR="004B4774" w:rsidRPr="003904B9" w:rsidRDefault="004B4774" w:rsidP="009A5A02">
            <w:pPr>
              <w:spacing w:line="240" w:lineRule="auto"/>
              <w:jc w:val="center"/>
              <w:rPr>
                <w:rFonts w:ascii="Arial" w:eastAsia="Times New Roman" w:hAnsi="Arial" w:cs="Arial"/>
                <w:iCs/>
                <w:color w:val="FFFFFF" w:themeColor="background1"/>
                <w:lang w:eastAsia="en-GB"/>
              </w:rPr>
            </w:pPr>
            <w:r w:rsidRPr="003904B9">
              <w:rPr>
                <w:rFonts w:ascii="Arial" w:eastAsia="Times New Roman" w:hAnsi="Arial" w:cs="Arial"/>
                <w:iCs/>
                <w:color w:val="FFFFFF" w:themeColor="background1"/>
                <w:lang w:eastAsia="en-GB"/>
              </w:rPr>
              <w:t>West Wittering</w:t>
            </w:r>
          </w:p>
        </w:tc>
        <w:tc>
          <w:tcPr>
            <w:tcW w:w="1842" w:type="dxa"/>
            <w:tcBorders>
              <w:top w:val="nil"/>
              <w:left w:val="nil"/>
              <w:bottom w:val="single" w:sz="4" w:space="0" w:color="auto"/>
              <w:right w:val="single" w:sz="4" w:space="0" w:color="auto"/>
            </w:tcBorders>
            <w:shd w:val="clear" w:color="auto" w:fill="000000" w:themeFill="text1"/>
            <w:noWrap/>
            <w:vAlign w:val="bottom"/>
            <w:hideMark/>
          </w:tcPr>
          <w:p w:rsidR="004B4774" w:rsidRPr="003904B9" w:rsidRDefault="004B4774" w:rsidP="009A5A02">
            <w:pPr>
              <w:spacing w:line="240" w:lineRule="auto"/>
              <w:jc w:val="center"/>
              <w:rPr>
                <w:rFonts w:ascii="Arial" w:eastAsia="Times New Roman" w:hAnsi="Arial" w:cs="Arial"/>
                <w:iCs/>
                <w:color w:val="FFFFFF" w:themeColor="background1"/>
                <w:lang w:eastAsia="en-GB"/>
              </w:rPr>
            </w:pPr>
            <w:r w:rsidRPr="003904B9">
              <w:rPr>
                <w:color w:val="FFFFFF" w:themeColor="background1"/>
              </w:rPr>
              <w:t>Chichester</w:t>
            </w:r>
          </w:p>
        </w:tc>
        <w:tc>
          <w:tcPr>
            <w:tcW w:w="1843" w:type="dxa"/>
            <w:tcBorders>
              <w:top w:val="nil"/>
              <w:left w:val="nil"/>
              <w:bottom w:val="single" w:sz="4" w:space="0" w:color="auto"/>
              <w:right w:val="single" w:sz="4" w:space="0" w:color="auto"/>
            </w:tcBorders>
            <w:shd w:val="clear" w:color="auto" w:fill="000000" w:themeFill="text1"/>
            <w:noWrap/>
            <w:vAlign w:val="bottom"/>
            <w:hideMark/>
          </w:tcPr>
          <w:p w:rsidR="004B4774" w:rsidRPr="003904B9" w:rsidRDefault="004B4774" w:rsidP="009A5A02">
            <w:pPr>
              <w:spacing w:line="240" w:lineRule="auto"/>
              <w:jc w:val="center"/>
              <w:rPr>
                <w:rFonts w:ascii="Arial" w:eastAsia="Times New Roman" w:hAnsi="Arial" w:cs="Arial"/>
                <w:iCs/>
                <w:color w:val="FFFFFF" w:themeColor="background1"/>
                <w:lang w:eastAsia="en-GB"/>
              </w:rPr>
            </w:pPr>
            <w:r w:rsidRPr="003904B9">
              <w:rPr>
                <w:color w:val="FFFFFF" w:themeColor="background1"/>
              </w:rPr>
              <w:t>England</w:t>
            </w:r>
          </w:p>
        </w:tc>
      </w:tr>
      <w:tr w:rsidR="004B4774" w:rsidRPr="003471D1" w:rsidTr="009A5A02">
        <w:trPr>
          <w:trHeight w:val="288"/>
        </w:trPr>
        <w:tc>
          <w:tcPr>
            <w:tcW w:w="2992"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Pr>
                <w:rFonts w:ascii="Arial" w:hAnsi="Arial" w:cs="Arial"/>
                <w:color w:val="000000"/>
              </w:rPr>
              <w:t>Less than 10km</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32.6%</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41.1%</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52.3%</w:t>
            </w:r>
          </w:p>
        </w:tc>
      </w:tr>
      <w:tr w:rsidR="004B4774" w:rsidRPr="003471D1" w:rsidTr="009A5A02">
        <w:trPr>
          <w:trHeight w:val="288"/>
        </w:trPr>
        <w:tc>
          <w:tcPr>
            <w:tcW w:w="2992"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Pr>
                <w:rFonts w:ascii="Arial" w:hAnsi="Arial" w:cs="Arial"/>
                <w:color w:val="000000"/>
              </w:rPr>
              <w:t>10km to less than 30km</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19.6%</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20.7%</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21.0%</w:t>
            </w:r>
          </w:p>
        </w:tc>
      </w:tr>
      <w:tr w:rsidR="004B4774" w:rsidRPr="003471D1" w:rsidTr="009A5A02">
        <w:trPr>
          <w:trHeight w:val="288"/>
        </w:trPr>
        <w:tc>
          <w:tcPr>
            <w:tcW w:w="2992"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Pr>
                <w:rFonts w:ascii="Arial" w:hAnsi="Arial" w:cs="Arial"/>
                <w:color w:val="000000"/>
              </w:rPr>
              <w:t>30km and over</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12.9%</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8.0%</w:t>
            </w:r>
          </w:p>
        </w:tc>
      </w:tr>
      <w:tr w:rsidR="004B4774" w:rsidRPr="003471D1" w:rsidTr="009A5A02">
        <w:trPr>
          <w:trHeight w:val="288"/>
        </w:trPr>
        <w:tc>
          <w:tcPr>
            <w:tcW w:w="2992"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Pr>
                <w:rFonts w:ascii="Arial" w:hAnsi="Arial" w:cs="Arial"/>
                <w:color w:val="000000"/>
              </w:rPr>
              <w:t>Work mainly at or from home</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22.5%</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16.4%</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Pr>
                <w:rFonts w:ascii="Arial" w:hAnsi="Arial" w:cs="Arial"/>
                <w:color w:val="000000"/>
              </w:rPr>
              <w:t>10.3%</w:t>
            </w:r>
          </w:p>
        </w:tc>
      </w:tr>
      <w:tr w:rsidR="004B4774" w:rsidRPr="003471D1" w:rsidTr="009A5A02">
        <w:trPr>
          <w:trHeight w:val="288"/>
        </w:trPr>
        <w:tc>
          <w:tcPr>
            <w:tcW w:w="2992"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4B4774" w:rsidRDefault="004B4774" w:rsidP="009A5A02">
            <w:pPr>
              <w:spacing w:line="240" w:lineRule="auto"/>
              <w:rPr>
                <w:rFonts w:ascii="Arial" w:hAnsi="Arial" w:cs="Arial"/>
                <w:color w:val="000000"/>
              </w:rPr>
            </w:pPr>
            <w:r>
              <w:rPr>
                <w:rFonts w:ascii="Arial" w:hAnsi="Arial" w:cs="Arial"/>
                <w:color w:val="000000"/>
              </w:rPr>
              <w:t>Other</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12.4%</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9.8%</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8.5%</w:t>
            </w:r>
          </w:p>
        </w:tc>
      </w:tr>
      <w:tr w:rsidR="004B4774" w:rsidRPr="003471D1" w:rsidTr="009A5A02">
        <w:trPr>
          <w:trHeight w:val="288"/>
        </w:trPr>
        <w:tc>
          <w:tcPr>
            <w:tcW w:w="2992"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4B4774" w:rsidRDefault="004B4774" w:rsidP="009A5A02">
            <w:pPr>
              <w:spacing w:line="240" w:lineRule="auto"/>
              <w:rPr>
                <w:rFonts w:ascii="Arial" w:hAnsi="Arial" w:cs="Arial"/>
                <w:color w:val="000000"/>
              </w:rPr>
            </w:pPr>
            <w:r>
              <w:rPr>
                <w:rFonts w:ascii="Arial" w:hAnsi="Arial" w:cs="Arial"/>
                <w:color w:val="000000"/>
              </w:rPr>
              <w:t>Average distance travelled to work</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24.1km</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18.1km</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B4774" w:rsidRDefault="004B4774" w:rsidP="009A5A02">
            <w:pPr>
              <w:spacing w:line="240" w:lineRule="auto"/>
              <w:jc w:val="right"/>
              <w:rPr>
                <w:rFonts w:ascii="Arial" w:hAnsi="Arial" w:cs="Arial"/>
                <w:color w:val="000000"/>
              </w:rPr>
            </w:pPr>
            <w:r>
              <w:rPr>
                <w:rFonts w:ascii="Arial" w:hAnsi="Arial" w:cs="Arial"/>
                <w:color w:val="000000"/>
              </w:rPr>
              <w:t>14.9km</w:t>
            </w:r>
          </w:p>
        </w:tc>
      </w:tr>
    </w:tbl>
    <w:p w:rsidR="004B4774" w:rsidRPr="001409C2" w:rsidRDefault="004B4774" w:rsidP="004B4774">
      <w:pPr>
        <w:pStyle w:val="Source"/>
      </w:pPr>
      <w:r w:rsidRPr="00DD6376">
        <w:rPr>
          <w:lang w:val="fr-FR"/>
        </w:rPr>
        <w:t xml:space="preserve">Source: ONS </w:t>
      </w:r>
      <w:proofErr w:type="spellStart"/>
      <w:r w:rsidRPr="00DD6376">
        <w:rPr>
          <w:lang w:val="fr-FR"/>
        </w:rPr>
        <w:t>Census</w:t>
      </w:r>
      <w:proofErr w:type="spellEnd"/>
      <w:r w:rsidRPr="00DD6376">
        <w:rPr>
          <w:lang w:val="fr-FR"/>
        </w:rPr>
        <w:t xml:space="preserve"> 2011, AECOM </w:t>
      </w:r>
      <w:proofErr w:type="spellStart"/>
      <w:r w:rsidR="001157B7">
        <w:rPr>
          <w:lang w:val="fr-FR"/>
        </w:rPr>
        <w:t>c</w:t>
      </w:r>
      <w:r w:rsidRPr="00DD6376">
        <w:rPr>
          <w:lang w:val="fr-FR"/>
        </w:rPr>
        <w:t>alculations</w:t>
      </w:r>
      <w:proofErr w:type="spellEnd"/>
    </w:p>
    <w:p w:rsidR="004B4774" w:rsidRPr="002062E3" w:rsidRDefault="004B4774" w:rsidP="004B4774">
      <w:pPr>
        <w:pStyle w:val="ListNumber"/>
      </w:pPr>
      <w:r>
        <w:t>The CLP identifies the o</w:t>
      </w:r>
      <w:r w:rsidRPr="00DC3839">
        <w:t>ut-commuting flows</w:t>
      </w:r>
      <w:r>
        <w:t xml:space="preserve"> from the Manhood Peninsula – where West Wittering is situated – as a challenge and intends to support and diversify economic activity particularly job opportunities on the Manhood Peninsula</w:t>
      </w:r>
      <w:r w:rsidR="001157B7">
        <w:t>.</w:t>
      </w:r>
      <w:r w:rsidRPr="00A215AC">
        <w:rPr>
          <w:vertAlign w:val="superscript"/>
        </w:rPr>
        <w:footnoteReference w:id="49"/>
      </w:r>
      <w:r>
        <w:t xml:space="preserve"> The CLP sets out its vision for the Manhood peninsula and its strategy includes developing “</w:t>
      </w:r>
      <w:r w:rsidRPr="004E599B">
        <w:rPr>
          <w:i/>
        </w:rPr>
        <w:t>intrinsic local industries such as small scale horticulture, agriculture, fishing and tourism […] with a particular focus on local food production</w:t>
      </w:r>
      <w:r>
        <w:t>”</w:t>
      </w:r>
      <w:r w:rsidRPr="004E599B">
        <w:rPr>
          <w:vertAlign w:val="superscript"/>
        </w:rPr>
        <w:footnoteReference w:id="50"/>
      </w:r>
      <w:r>
        <w:t>. It also includes developing “</w:t>
      </w:r>
      <w:r w:rsidRPr="004E599B">
        <w:rPr>
          <w:i/>
        </w:rPr>
        <w:t>an ‘enterprise’ culture, building on high levels of entrepreneurship and self-employment</w:t>
      </w:r>
      <w:r>
        <w:t>”.</w:t>
      </w:r>
      <w:r w:rsidRPr="00CE2E83">
        <w:t xml:space="preserve"> As shown in </w:t>
      </w:r>
      <w:r w:rsidRPr="00CE2E83">
        <w:fldChar w:fldCharType="begin"/>
      </w:r>
      <w:r w:rsidRPr="00CE2E83">
        <w:instrText xml:space="preserve"> REF _Ref495413771 \h </w:instrText>
      </w:r>
      <w:r>
        <w:instrText xml:space="preserve"> \* MERGEFORMAT </w:instrText>
      </w:r>
      <w:r w:rsidRPr="00CE2E83">
        <w:fldChar w:fldCharType="separate"/>
      </w:r>
      <w:r>
        <w:t>Table 2</w:t>
      </w:r>
      <w:r w:rsidRPr="00CE2E83">
        <w:fldChar w:fldCharType="end"/>
      </w:r>
      <w:r w:rsidRPr="00CE2E83">
        <w:t>, there are high levels of self-employment in West Wittering (17.4%) as well as in Chichester (14.5%) as identified in the CLP</w:t>
      </w:r>
      <w:r w:rsidR="001157B7">
        <w:t>.</w:t>
      </w:r>
      <w:r w:rsidRPr="004E599B">
        <w:rPr>
          <w:vertAlign w:val="superscript"/>
        </w:rPr>
        <w:footnoteReference w:id="51"/>
      </w:r>
      <w:r w:rsidRPr="00CE2E83">
        <w:t xml:space="preserve"> </w:t>
      </w:r>
    </w:p>
    <w:p w:rsidR="004B4774" w:rsidRPr="00C2241F" w:rsidRDefault="004B4774" w:rsidP="004B4774">
      <w:pPr>
        <w:pStyle w:val="ListNumber"/>
      </w:pPr>
      <w:r w:rsidRPr="00BE2D52">
        <w:rPr>
          <w:lang w:val="en-US"/>
        </w:rPr>
        <w:lastRenderedPageBreak/>
        <w:t xml:space="preserve">Congestion at the </w:t>
      </w:r>
      <w:r w:rsidR="001157B7">
        <w:rPr>
          <w:lang w:val="en-US"/>
        </w:rPr>
        <w:t>six</w:t>
      </w:r>
      <w:r w:rsidRPr="00BE2D52">
        <w:rPr>
          <w:lang w:val="en-US"/>
        </w:rPr>
        <w:t xml:space="preserve"> roundabouts around </w:t>
      </w:r>
      <w:proofErr w:type="spellStart"/>
      <w:r w:rsidRPr="00BE2D52">
        <w:rPr>
          <w:lang w:val="en-US"/>
        </w:rPr>
        <w:t>Chichester</w:t>
      </w:r>
      <w:proofErr w:type="spellEnd"/>
      <w:r w:rsidRPr="00BE2D52">
        <w:rPr>
          <w:lang w:val="en-US"/>
        </w:rPr>
        <w:t xml:space="preserve"> is also identified </w:t>
      </w:r>
      <w:r>
        <w:rPr>
          <w:lang w:val="en-US"/>
        </w:rPr>
        <w:t>as a challenge in the LEPSEP</w:t>
      </w:r>
      <w:r>
        <w:rPr>
          <w:rStyle w:val="FootnoteReference"/>
          <w:lang w:val="en-US"/>
        </w:rPr>
        <w:footnoteReference w:id="52"/>
      </w:r>
      <w:r>
        <w:rPr>
          <w:lang w:val="en-US"/>
        </w:rPr>
        <w:t xml:space="preserve"> and A27 roundabout improvements are planned in order to “</w:t>
      </w:r>
      <w:r w:rsidRPr="00736E89">
        <w:rPr>
          <w:i/>
          <w:lang w:val="en-US"/>
        </w:rPr>
        <w:t>improve traffic flow and the coast and open access to new housing and employment sites</w:t>
      </w:r>
      <w:r>
        <w:rPr>
          <w:lang w:val="en-US"/>
        </w:rPr>
        <w:t xml:space="preserve">”. </w:t>
      </w:r>
      <w:r>
        <w:rPr>
          <w:lang w:eastAsia="en-GB"/>
        </w:rPr>
        <w:t>Such investment would be expected to generate further additional demand for housing in West Wittering given it would improve connections to new employment opportunities.</w:t>
      </w:r>
    </w:p>
    <w:p w:rsidR="004B4774" w:rsidRPr="009A22DB" w:rsidRDefault="004B4774" w:rsidP="004B4774">
      <w:pPr>
        <w:pStyle w:val="Heading2"/>
        <w:rPr>
          <w:lang w:val="en-US"/>
        </w:rPr>
      </w:pPr>
      <w:bookmarkStart w:id="158" w:name="_Toc495920031"/>
      <w:bookmarkStart w:id="159" w:name="_Toc504464749"/>
      <w:r w:rsidRPr="009A22DB">
        <w:rPr>
          <w:lang w:val="en-US"/>
        </w:rPr>
        <w:t xml:space="preserve">Housing </w:t>
      </w:r>
      <w:r w:rsidR="001157B7">
        <w:rPr>
          <w:lang w:val="en-US"/>
        </w:rPr>
        <w:t>t</w:t>
      </w:r>
      <w:r w:rsidRPr="009A22DB">
        <w:rPr>
          <w:lang w:val="en-US"/>
        </w:rPr>
        <w:t xml:space="preserve">ransactions: </w:t>
      </w:r>
      <w:r w:rsidR="001157B7">
        <w:rPr>
          <w:lang w:val="en-US"/>
        </w:rPr>
        <w:t>p</w:t>
      </w:r>
      <w:r w:rsidRPr="009A22DB">
        <w:rPr>
          <w:lang w:val="en-US"/>
        </w:rPr>
        <w:t>rices</w:t>
      </w:r>
      <w:bookmarkEnd w:id="158"/>
      <w:bookmarkEnd w:id="159"/>
    </w:p>
    <w:p w:rsidR="004B4774" w:rsidRDefault="004B4774" w:rsidP="00A258B5">
      <w:pPr>
        <w:pStyle w:val="ListNumber"/>
      </w:pPr>
      <w:r w:rsidRPr="009A22DB">
        <w:t xml:space="preserve">The PPG advises that house prices should be used as an indication of the strength of demand for housing, and the adequacy of supply to meet that demand. To assess the housing market in the West Wittering NPA data from the Land Registry was analysed. This data provides price paid, housing type and date of transaction information which allows housing market trends to be identified. Data was downloaded for the period of January 2007 to December 2016 and is presented annually in the figure below. To replicate the NPA area, relevant post code data was filtered down to the </w:t>
      </w:r>
      <w:r w:rsidR="005F5CF8">
        <w:t>Parish</w:t>
      </w:r>
      <w:r w:rsidRPr="009A22DB">
        <w:t xml:space="preserve"> level, such that only post-codes within the </w:t>
      </w:r>
      <w:r w:rsidR="005F5CF8">
        <w:t>Parish</w:t>
      </w:r>
      <w:r w:rsidRPr="009A22DB">
        <w:t xml:space="preserve"> were included in the selection of Land Registry Data used for the analysis. </w:t>
      </w:r>
    </w:p>
    <w:p w:rsidR="004B4774" w:rsidRPr="009A22DB" w:rsidRDefault="00B25544" w:rsidP="00A258B5">
      <w:pPr>
        <w:pStyle w:val="ListNumber"/>
      </w:pPr>
      <w:r>
        <w:fldChar w:fldCharType="begin"/>
      </w:r>
      <w:r>
        <w:instrText xml:space="preserve"> REF _Ref495407060 \h </w:instrText>
      </w:r>
      <w:r>
        <w:fldChar w:fldCharType="separate"/>
      </w:r>
      <w:r w:rsidRPr="005C2CD6">
        <w:t xml:space="preserve">Figure </w:t>
      </w:r>
      <w:r>
        <w:rPr>
          <w:noProof/>
        </w:rPr>
        <w:t>8</w:t>
      </w:r>
      <w:r>
        <w:fldChar w:fldCharType="end"/>
      </w:r>
      <w:r w:rsidR="004B4774">
        <w:t xml:space="preserve"> and </w:t>
      </w:r>
      <w:r>
        <w:fldChar w:fldCharType="begin"/>
      </w:r>
      <w:r>
        <w:instrText xml:space="preserve"> REF _Ref504465325 \h </w:instrText>
      </w:r>
      <w:r>
        <w:fldChar w:fldCharType="separate"/>
      </w:r>
      <w:r>
        <w:t xml:space="preserve">Table </w:t>
      </w:r>
      <w:r>
        <w:rPr>
          <w:noProof/>
        </w:rPr>
        <w:t>22</w:t>
      </w:r>
      <w:r>
        <w:fldChar w:fldCharType="end"/>
      </w:r>
      <w:r w:rsidR="004B4774">
        <w:t xml:space="preserve"> below indicate that all types of housing have recovered to their pre-recession prices on average rather fast. The terraced houses experienced a 55% price growth while the flats prices increased by 44%</w:t>
      </w:r>
      <w:r w:rsidR="004B4774" w:rsidRPr="00521207">
        <w:t xml:space="preserve"> </w:t>
      </w:r>
      <w:r w:rsidR="004B4774">
        <w:t>between 2007 and 2016.</w:t>
      </w:r>
    </w:p>
    <w:p w:rsidR="004B4774" w:rsidRPr="00BC37DD" w:rsidRDefault="004B4774" w:rsidP="004B4774">
      <w:pPr>
        <w:pStyle w:val="Caption"/>
      </w:pPr>
      <w:bookmarkStart w:id="160" w:name="_Ref495407060"/>
      <w:bookmarkStart w:id="161" w:name="_Toc495920044"/>
      <w:r w:rsidRPr="005C2CD6">
        <w:t xml:space="preserve">Figure </w:t>
      </w:r>
      <w:fldSimple w:instr=" SEQ Figure \* ARABIC ">
        <w:r w:rsidR="00A258B5">
          <w:rPr>
            <w:noProof/>
          </w:rPr>
          <w:t>8</w:t>
        </w:r>
      </w:fldSimple>
      <w:bookmarkEnd w:id="160"/>
      <w:r>
        <w:t>: West Wittering</w:t>
      </w:r>
      <w:r w:rsidRPr="00874B1D">
        <w:t xml:space="preserve"> </w:t>
      </w:r>
      <w:r w:rsidR="001157B7">
        <w:t>p</w:t>
      </w:r>
      <w:r w:rsidRPr="00874B1D">
        <w:t xml:space="preserve">rices </w:t>
      </w:r>
      <w:r w:rsidR="001157B7">
        <w:t>p</w:t>
      </w:r>
      <w:r w:rsidRPr="00874B1D">
        <w:t xml:space="preserve">aid by </w:t>
      </w:r>
      <w:r w:rsidR="001157B7">
        <w:t>h</w:t>
      </w:r>
      <w:r w:rsidRPr="00874B1D">
        <w:t>ouse</w:t>
      </w:r>
      <w:r w:rsidR="001157B7">
        <w:t xml:space="preserve"> t</w:t>
      </w:r>
      <w:r w:rsidRPr="00874B1D">
        <w:t>ype, 2007-2016</w:t>
      </w:r>
      <w:bookmarkEnd w:id="161"/>
    </w:p>
    <w:p w:rsidR="004B4774" w:rsidRPr="00BC37DD" w:rsidRDefault="004B4774" w:rsidP="004B4774">
      <w:pPr>
        <w:pStyle w:val="ListNumber"/>
        <w:numPr>
          <w:ilvl w:val="0"/>
          <w:numId w:val="0"/>
        </w:numPr>
        <w:ind w:left="425"/>
        <w:rPr>
          <w:lang w:val="en-US"/>
        </w:rPr>
      </w:pPr>
      <w:r>
        <w:rPr>
          <w:noProof/>
          <w:lang w:eastAsia="en-GB"/>
        </w:rPr>
        <w:drawing>
          <wp:inline distT="0" distB="0" distL="0" distR="0" wp14:anchorId="7FF198AA" wp14:editId="727AA598">
            <wp:extent cx="5731510" cy="3151106"/>
            <wp:effectExtent l="0" t="0" r="2159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4774" w:rsidRDefault="004B4774" w:rsidP="004B4774">
      <w:pPr>
        <w:pStyle w:val="Source"/>
      </w:pPr>
      <w:r w:rsidRPr="00FF08C3">
        <w:t xml:space="preserve">Source: Land Registry PPD, AECOM </w:t>
      </w:r>
      <w:r w:rsidR="001157B7">
        <w:t>c</w:t>
      </w:r>
      <w:r w:rsidRPr="00FF08C3">
        <w:t>alculations</w:t>
      </w:r>
    </w:p>
    <w:p w:rsidR="004B4774" w:rsidRPr="00FF08C3" w:rsidRDefault="004B4774" w:rsidP="004B4774">
      <w:pPr>
        <w:pStyle w:val="Caption"/>
      </w:pPr>
      <w:bookmarkStart w:id="162" w:name="_Ref495407092"/>
      <w:bookmarkStart w:id="163" w:name="_Toc495920052"/>
      <w:bookmarkStart w:id="164" w:name="_Ref504465325"/>
      <w:r>
        <w:t xml:space="preserve">Table </w:t>
      </w:r>
      <w:fldSimple w:instr=" SEQ Table \* ARABIC ">
        <w:r w:rsidR="00B25544">
          <w:rPr>
            <w:noProof/>
          </w:rPr>
          <w:t>22</w:t>
        </w:r>
      </w:fldSimple>
      <w:bookmarkEnd w:id="162"/>
      <w:r>
        <w:t>: West Wittering</w:t>
      </w:r>
      <w:r w:rsidRPr="00874B1D">
        <w:t xml:space="preserve"> </w:t>
      </w:r>
      <w:r w:rsidR="001157B7">
        <w:t>p</w:t>
      </w:r>
      <w:r w:rsidRPr="00874B1D">
        <w:t xml:space="preserve">rices </w:t>
      </w:r>
      <w:r w:rsidR="001157B7">
        <w:t>p</w:t>
      </w:r>
      <w:r w:rsidRPr="00874B1D">
        <w:t xml:space="preserve">aid by </w:t>
      </w:r>
      <w:r w:rsidR="001157B7">
        <w:t>h</w:t>
      </w:r>
      <w:r w:rsidRPr="00874B1D">
        <w:t xml:space="preserve">ouse </w:t>
      </w:r>
      <w:r w:rsidR="001157B7">
        <w:t>t</w:t>
      </w:r>
      <w:r w:rsidRPr="00874B1D">
        <w:t>ype, 2007-2016</w:t>
      </w:r>
      <w:bookmarkEnd w:id="163"/>
      <w:bookmarkEnd w:id="164"/>
    </w:p>
    <w:tbl>
      <w:tblPr>
        <w:tblStyle w:val="TableGrid"/>
        <w:tblW w:w="10065" w:type="dxa"/>
        <w:tblLayout w:type="fixed"/>
        <w:tblLook w:val="04A0" w:firstRow="1" w:lastRow="0" w:firstColumn="1" w:lastColumn="0" w:noHBand="0" w:noVBand="1"/>
      </w:tblPr>
      <w:tblGrid>
        <w:gridCol w:w="1075"/>
        <w:gridCol w:w="899"/>
        <w:gridCol w:w="899"/>
        <w:gridCol w:w="899"/>
        <w:gridCol w:w="899"/>
        <w:gridCol w:w="899"/>
        <w:gridCol w:w="899"/>
        <w:gridCol w:w="899"/>
        <w:gridCol w:w="899"/>
        <w:gridCol w:w="899"/>
        <w:gridCol w:w="899"/>
      </w:tblGrid>
      <w:tr w:rsidR="004B4774" w:rsidRPr="00FB505C" w:rsidTr="009A5A02">
        <w:trPr>
          <w:cnfStyle w:val="100000000000" w:firstRow="1" w:lastRow="0" w:firstColumn="0" w:lastColumn="0" w:oddVBand="0" w:evenVBand="0" w:oddHBand="0" w:evenHBand="0" w:firstRowFirstColumn="0" w:firstRowLastColumn="0" w:lastRowFirstColumn="0" w:lastRowLastColumn="0"/>
          <w:trHeight w:val="288"/>
        </w:trPr>
        <w:tc>
          <w:tcPr>
            <w:tcW w:w="1075" w:type="dxa"/>
            <w:shd w:val="clear" w:color="auto" w:fill="0D0D0D" w:themeFill="text1" w:themeFillTint="F2"/>
            <w:noWrap/>
          </w:tcPr>
          <w:p w:rsidR="004B4774" w:rsidRPr="00097B36" w:rsidRDefault="004B4774" w:rsidP="009A5A02">
            <w:pPr>
              <w:rPr>
                <w:rFonts w:ascii="Arial" w:hAnsi="Arial" w:cs="Arial"/>
                <w:i/>
                <w:iCs/>
                <w:color w:val="FFFFFF" w:themeColor="background1"/>
              </w:rPr>
            </w:pP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2007</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2008</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2009</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2010</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2011</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2012</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2013</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2014</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2015</w:t>
            </w:r>
          </w:p>
        </w:tc>
        <w:tc>
          <w:tcPr>
            <w:tcW w:w="899" w:type="dxa"/>
            <w:shd w:val="clear" w:color="auto" w:fill="0D0D0D" w:themeFill="text1" w:themeFillTint="F2"/>
            <w:noWrap/>
          </w:tcPr>
          <w:p w:rsidR="004B4774" w:rsidRPr="00097B36" w:rsidRDefault="004B4774" w:rsidP="009A5A02">
            <w:pPr>
              <w:jc w:val="both"/>
              <w:rPr>
                <w:rFonts w:ascii="Arial" w:hAnsi="Arial" w:cs="Arial"/>
                <w:b/>
                <w:bCs/>
                <w:color w:val="FFFFFF" w:themeColor="background1"/>
              </w:rPr>
            </w:pPr>
            <w:r w:rsidRPr="00097B36">
              <w:rPr>
                <w:rFonts w:ascii="Arial" w:hAnsi="Arial" w:cs="Arial"/>
                <w:b/>
                <w:bCs/>
                <w:color w:val="FFFFFF" w:themeColor="background1"/>
              </w:rPr>
              <w:t>2016</w:t>
            </w:r>
          </w:p>
        </w:tc>
      </w:tr>
      <w:tr w:rsidR="004B4774" w:rsidRPr="00FB505C" w:rsidTr="009A5A02">
        <w:trPr>
          <w:trHeight w:val="288"/>
        </w:trPr>
        <w:tc>
          <w:tcPr>
            <w:tcW w:w="1075" w:type="dxa"/>
            <w:shd w:val="clear" w:color="auto" w:fill="BFBFBF" w:themeFill="background1" w:themeFillShade="BF"/>
            <w:noWrap/>
          </w:tcPr>
          <w:p w:rsidR="004B4774" w:rsidRPr="00FB505C" w:rsidRDefault="004B4774" w:rsidP="009A5A02">
            <w:pPr>
              <w:rPr>
                <w:rFonts w:ascii="Arial" w:hAnsi="Arial" w:cs="Arial"/>
                <w:color w:val="000000"/>
              </w:rPr>
            </w:pPr>
            <w:r w:rsidRPr="00FB505C">
              <w:rPr>
                <w:rFonts w:ascii="Arial" w:hAnsi="Arial" w:cs="Arial"/>
                <w:color w:val="000000"/>
              </w:rPr>
              <w:t>Detached</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591,476</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520,298</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489,822</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532,190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485,839</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487,209</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577,435</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580,757</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642,919</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664,593</w:t>
            </w:r>
          </w:p>
        </w:tc>
      </w:tr>
      <w:tr w:rsidR="004B4774" w:rsidRPr="00FB505C" w:rsidTr="009A5A02">
        <w:trPr>
          <w:trHeight w:val="288"/>
        </w:trPr>
        <w:tc>
          <w:tcPr>
            <w:tcW w:w="1075" w:type="dxa"/>
            <w:shd w:val="clear" w:color="auto" w:fill="BFBFBF" w:themeFill="background1" w:themeFillShade="BF"/>
            <w:noWrap/>
          </w:tcPr>
          <w:p w:rsidR="004B4774" w:rsidRPr="00FB505C" w:rsidRDefault="004B4774" w:rsidP="009A5A02">
            <w:pPr>
              <w:rPr>
                <w:rFonts w:ascii="Arial" w:hAnsi="Arial" w:cs="Arial"/>
                <w:color w:val="000000"/>
              </w:rPr>
            </w:pPr>
            <w:r w:rsidRPr="00FB505C">
              <w:rPr>
                <w:rFonts w:ascii="Arial" w:hAnsi="Arial" w:cs="Arial"/>
                <w:color w:val="000000"/>
              </w:rPr>
              <w:t>Semi-Detached</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279,040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251,828</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239,106</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279,782</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268,824</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271,057</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443,133</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338,568</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271,669</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319,341</w:t>
            </w:r>
          </w:p>
        </w:tc>
      </w:tr>
      <w:tr w:rsidR="004B4774" w:rsidRPr="00FB505C" w:rsidTr="009A5A02">
        <w:trPr>
          <w:trHeight w:val="288"/>
        </w:trPr>
        <w:tc>
          <w:tcPr>
            <w:tcW w:w="1075" w:type="dxa"/>
            <w:shd w:val="clear" w:color="auto" w:fill="BFBFBF" w:themeFill="background1" w:themeFillShade="BF"/>
            <w:noWrap/>
          </w:tcPr>
          <w:p w:rsidR="004B4774" w:rsidRPr="00FB505C" w:rsidRDefault="004B4774" w:rsidP="009A5A02">
            <w:pPr>
              <w:rPr>
                <w:rFonts w:ascii="Arial" w:hAnsi="Arial" w:cs="Arial"/>
                <w:color w:val="000000"/>
              </w:rPr>
            </w:pPr>
            <w:r w:rsidRPr="00FB505C">
              <w:rPr>
                <w:rFonts w:ascii="Arial" w:hAnsi="Arial" w:cs="Arial"/>
                <w:color w:val="000000"/>
              </w:rPr>
              <w:t>Terraced</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203,000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229,500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195,167</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335,250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411,250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247,550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341,250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244,916</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242,333</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314,650</w:t>
            </w:r>
          </w:p>
        </w:tc>
      </w:tr>
      <w:tr w:rsidR="004B4774" w:rsidRPr="00FB505C" w:rsidTr="009A5A02">
        <w:trPr>
          <w:trHeight w:val="60"/>
        </w:trPr>
        <w:tc>
          <w:tcPr>
            <w:tcW w:w="1075" w:type="dxa"/>
            <w:shd w:val="clear" w:color="auto" w:fill="BFBFBF" w:themeFill="background1" w:themeFillShade="BF"/>
            <w:noWrap/>
          </w:tcPr>
          <w:p w:rsidR="004B4774" w:rsidRPr="00FB505C" w:rsidRDefault="004B4774" w:rsidP="009A5A02">
            <w:pPr>
              <w:rPr>
                <w:rFonts w:ascii="Arial" w:hAnsi="Arial" w:cs="Arial"/>
                <w:color w:val="000000"/>
              </w:rPr>
            </w:pPr>
            <w:r w:rsidRPr="00FB505C">
              <w:rPr>
                <w:rFonts w:ascii="Arial" w:hAnsi="Arial" w:cs="Arial"/>
                <w:color w:val="000000"/>
              </w:rPr>
              <w:t>Flats</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198,590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186,750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185,100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212,667</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162,440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231,500</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203,667</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213,886</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212,625</w:t>
            </w:r>
          </w:p>
        </w:tc>
        <w:tc>
          <w:tcPr>
            <w:tcW w:w="899" w:type="dxa"/>
            <w:noWrap/>
            <w:vAlign w:val="bottom"/>
          </w:tcPr>
          <w:p w:rsidR="004B4774" w:rsidRPr="00886026" w:rsidRDefault="004B4774" w:rsidP="009A5A02">
            <w:pPr>
              <w:rPr>
                <w:rFonts w:cstheme="minorHAnsi"/>
                <w:color w:val="000000"/>
                <w:sz w:val="18"/>
              </w:rPr>
            </w:pPr>
            <w:r w:rsidRPr="00886026">
              <w:rPr>
                <w:rFonts w:cstheme="minorHAnsi"/>
                <w:color w:val="000000"/>
                <w:sz w:val="18"/>
              </w:rPr>
              <w:t>284,993</w:t>
            </w:r>
          </w:p>
        </w:tc>
      </w:tr>
      <w:tr w:rsidR="004B4774" w:rsidRPr="00FB505C" w:rsidTr="009A5A02">
        <w:trPr>
          <w:trHeight w:val="216"/>
        </w:trPr>
        <w:tc>
          <w:tcPr>
            <w:tcW w:w="1075" w:type="dxa"/>
            <w:tcBorders>
              <w:bottom w:val="single" w:sz="4" w:space="0" w:color="auto"/>
            </w:tcBorders>
            <w:shd w:val="clear" w:color="auto" w:fill="BFBFBF" w:themeFill="background1" w:themeFillShade="BF"/>
            <w:noWrap/>
            <w:vAlign w:val="bottom"/>
          </w:tcPr>
          <w:p w:rsidR="004B4774" w:rsidRPr="00B61480" w:rsidRDefault="004B4774" w:rsidP="009A5A02">
            <w:pPr>
              <w:rPr>
                <w:rFonts w:ascii="Arial" w:hAnsi="Arial" w:cs="Arial"/>
                <w:color w:val="000000"/>
              </w:rPr>
            </w:pPr>
            <w:r w:rsidRPr="00B61480">
              <w:rPr>
                <w:rFonts w:ascii="Arial" w:hAnsi="Arial" w:cs="Arial"/>
                <w:color w:val="000000"/>
              </w:rPr>
              <w:t>All Types</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457,185</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411,468</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410,771</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427,804</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395,738</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406,669</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520,682</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487,874</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480,680</w:t>
            </w:r>
          </w:p>
        </w:tc>
        <w:tc>
          <w:tcPr>
            <w:tcW w:w="899" w:type="dxa"/>
            <w:tcBorders>
              <w:bottom w:val="single" w:sz="4" w:space="0" w:color="auto"/>
            </w:tcBorders>
            <w:noWrap/>
            <w:vAlign w:val="bottom"/>
          </w:tcPr>
          <w:p w:rsidR="004B4774" w:rsidRPr="00886026" w:rsidRDefault="004B4774" w:rsidP="009A5A02">
            <w:pPr>
              <w:rPr>
                <w:rFonts w:cstheme="minorHAnsi"/>
                <w:color w:val="000000"/>
                <w:sz w:val="18"/>
              </w:rPr>
            </w:pPr>
            <w:r w:rsidRPr="00886026">
              <w:rPr>
                <w:rFonts w:cstheme="minorHAnsi"/>
                <w:color w:val="000000"/>
                <w:sz w:val="18"/>
              </w:rPr>
              <w:t>541,512</w:t>
            </w:r>
          </w:p>
        </w:tc>
      </w:tr>
    </w:tbl>
    <w:p w:rsidR="004B4774" w:rsidRPr="00FF08C3" w:rsidRDefault="004B4774" w:rsidP="004B4774">
      <w:pPr>
        <w:pStyle w:val="Source"/>
      </w:pPr>
      <w:r w:rsidRPr="00FF08C3">
        <w:t xml:space="preserve">Source: Land Registry PPD, AECOM </w:t>
      </w:r>
      <w:r w:rsidR="001157B7">
        <w:t>c</w:t>
      </w:r>
      <w:r w:rsidRPr="00FF08C3">
        <w:t>alculations</w:t>
      </w:r>
    </w:p>
    <w:p w:rsidR="004B4774" w:rsidRDefault="004B4774" w:rsidP="004B4774">
      <w:pPr>
        <w:pStyle w:val="ListNumber"/>
        <w:rPr>
          <w:lang w:val="en-US"/>
        </w:rPr>
      </w:pPr>
      <w:r>
        <w:rPr>
          <w:lang w:val="en-US"/>
        </w:rPr>
        <w:t xml:space="preserve">The house prices growth indicates a strong demand in the NPA, especially for terraced house and flats. The </w:t>
      </w:r>
      <w:r w:rsidR="005F5CF8">
        <w:rPr>
          <w:lang w:val="en-US"/>
        </w:rPr>
        <w:t>District</w:t>
      </w:r>
      <w:r>
        <w:rPr>
          <w:lang w:val="en-US"/>
        </w:rPr>
        <w:t xml:space="preserve"> also experienced a strong demand between 2007 and 2016 with an overall house prices growth at 33% as shown in </w:t>
      </w:r>
      <w:r w:rsidR="00B25544">
        <w:rPr>
          <w:lang w:val="en-US"/>
        </w:rPr>
        <w:lastRenderedPageBreak/>
        <w:fldChar w:fldCharType="begin"/>
      </w:r>
      <w:r w:rsidR="00B25544">
        <w:rPr>
          <w:lang w:val="en-US"/>
        </w:rPr>
        <w:instrText xml:space="preserve"> REF _Ref495651844 \h </w:instrText>
      </w:r>
      <w:r w:rsidR="00B25544">
        <w:rPr>
          <w:lang w:val="en-US"/>
        </w:rPr>
      </w:r>
      <w:r w:rsidR="00B25544">
        <w:rPr>
          <w:lang w:val="en-US"/>
        </w:rPr>
        <w:fldChar w:fldCharType="separate"/>
      </w:r>
      <w:r w:rsidR="00B25544">
        <w:t xml:space="preserve">Table </w:t>
      </w:r>
      <w:r w:rsidR="00B25544">
        <w:rPr>
          <w:noProof/>
        </w:rPr>
        <w:t>23</w:t>
      </w:r>
      <w:r w:rsidR="00B25544">
        <w:rPr>
          <w:lang w:val="en-US"/>
        </w:rPr>
        <w:fldChar w:fldCharType="end"/>
      </w:r>
      <w:r>
        <w:rPr>
          <w:lang w:val="en-US"/>
        </w:rPr>
        <w:t xml:space="preserve">. Detached houses prices and semi-detached houses prices increased respectively by 41% and 34% in </w:t>
      </w:r>
      <w:proofErr w:type="spellStart"/>
      <w:r>
        <w:rPr>
          <w:lang w:val="en-US"/>
        </w:rPr>
        <w:t>Chichester</w:t>
      </w:r>
      <w:proofErr w:type="spellEnd"/>
      <w:r>
        <w:rPr>
          <w:lang w:val="en-US"/>
        </w:rPr>
        <w:t xml:space="preserve"> between 2007 and 2016. </w:t>
      </w:r>
    </w:p>
    <w:p w:rsidR="004B4774" w:rsidRPr="0061240C" w:rsidRDefault="004B4774" w:rsidP="004B4774">
      <w:pPr>
        <w:pStyle w:val="ListNumber"/>
        <w:rPr>
          <w:lang w:val="en-US"/>
        </w:rPr>
      </w:pPr>
      <w:r>
        <w:rPr>
          <w:lang w:val="en-US"/>
        </w:rPr>
        <w:t>A</w:t>
      </w:r>
      <w:r w:rsidRPr="00B37F02">
        <w:rPr>
          <w:lang w:val="en-US"/>
        </w:rPr>
        <w:t>lthough</w:t>
      </w:r>
      <w:r>
        <w:rPr>
          <w:lang w:val="en-US"/>
        </w:rPr>
        <w:t xml:space="preserve"> price growth in West </w:t>
      </w:r>
      <w:proofErr w:type="spellStart"/>
      <w:r>
        <w:rPr>
          <w:lang w:val="en-US"/>
        </w:rPr>
        <w:t>Wittering</w:t>
      </w:r>
      <w:proofErr w:type="spellEnd"/>
      <w:r w:rsidRPr="00B37F02">
        <w:rPr>
          <w:lang w:val="en-US"/>
        </w:rPr>
        <w:t xml:space="preserve"> </w:t>
      </w:r>
      <w:r>
        <w:rPr>
          <w:lang w:val="en-US"/>
        </w:rPr>
        <w:t>has been relatively lower on average</w:t>
      </w:r>
      <w:r w:rsidRPr="00B37F02">
        <w:rPr>
          <w:lang w:val="en-US"/>
        </w:rPr>
        <w:t xml:space="preserve"> (18%) </w:t>
      </w:r>
      <w:r>
        <w:rPr>
          <w:lang w:val="en-US"/>
        </w:rPr>
        <w:t xml:space="preserve">compared with </w:t>
      </w:r>
      <w:proofErr w:type="spellStart"/>
      <w:r>
        <w:rPr>
          <w:lang w:val="en-US"/>
        </w:rPr>
        <w:t>Chichester</w:t>
      </w:r>
      <w:proofErr w:type="spellEnd"/>
      <w:r>
        <w:rPr>
          <w:lang w:val="en-US"/>
        </w:rPr>
        <w:t>, this has been from a higher base as house p</w:t>
      </w:r>
      <w:r w:rsidRPr="00B37F02">
        <w:rPr>
          <w:lang w:val="en-US"/>
        </w:rPr>
        <w:t xml:space="preserve">rices in West </w:t>
      </w:r>
      <w:proofErr w:type="spellStart"/>
      <w:r w:rsidRPr="00B37F02">
        <w:rPr>
          <w:lang w:val="en-US"/>
        </w:rPr>
        <w:t>Wittering</w:t>
      </w:r>
      <w:proofErr w:type="spellEnd"/>
      <w:r w:rsidRPr="00B37F02">
        <w:rPr>
          <w:lang w:val="en-US"/>
        </w:rPr>
        <w:t xml:space="preserve"> are higher than the average for </w:t>
      </w:r>
      <w:proofErr w:type="spellStart"/>
      <w:r w:rsidRPr="00B37F02">
        <w:rPr>
          <w:lang w:val="en-US"/>
        </w:rPr>
        <w:t>Chichester</w:t>
      </w:r>
      <w:proofErr w:type="spellEnd"/>
      <w:r w:rsidRPr="00B37F02">
        <w:rPr>
          <w:lang w:val="en-US"/>
        </w:rPr>
        <w:t xml:space="preserve"> </w:t>
      </w:r>
      <w:r>
        <w:rPr>
          <w:lang w:val="en-US"/>
        </w:rPr>
        <w:t>as whole.</w:t>
      </w:r>
    </w:p>
    <w:p w:rsidR="004B4774" w:rsidRDefault="004B4774" w:rsidP="004B4774">
      <w:pPr>
        <w:pStyle w:val="Caption"/>
      </w:pPr>
      <w:bookmarkStart w:id="165" w:name="_Ref495651844"/>
      <w:bookmarkStart w:id="166" w:name="_Toc495920053"/>
      <w:bookmarkStart w:id="167" w:name="_Ref504465347"/>
      <w:r>
        <w:t xml:space="preserve">Table </w:t>
      </w:r>
      <w:fldSimple w:instr=" SEQ Table \* ARABIC ">
        <w:r w:rsidR="00B25544">
          <w:rPr>
            <w:noProof/>
          </w:rPr>
          <w:t>23</w:t>
        </w:r>
      </w:fldSimple>
      <w:bookmarkEnd w:id="165"/>
      <w:r>
        <w:t xml:space="preserve">: </w:t>
      </w:r>
      <w:r w:rsidRPr="00CC6291">
        <w:t xml:space="preserve">Price comparison for January 2007 and December 2016, </w:t>
      </w:r>
      <w:r>
        <w:t>West Wittering</w:t>
      </w:r>
      <w:r w:rsidRPr="00CC6291">
        <w:t xml:space="preserve"> and </w:t>
      </w:r>
      <w:r>
        <w:t>Chichester</w:t>
      </w:r>
      <w:bookmarkEnd w:id="166"/>
      <w:bookmarkEnd w:id="167"/>
    </w:p>
    <w:tbl>
      <w:tblPr>
        <w:tblW w:w="0" w:type="auto"/>
        <w:tblInd w:w="93" w:type="dxa"/>
        <w:tblLayout w:type="fixed"/>
        <w:tblLook w:val="04A0" w:firstRow="1" w:lastRow="0" w:firstColumn="1" w:lastColumn="0" w:noHBand="0" w:noVBand="1"/>
      </w:tblPr>
      <w:tblGrid>
        <w:gridCol w:w="1060"/>
        <w:gridCol w:w="1365"/>
        <w:gridCol w:w="1418"/>
        <w:gridCol w:w="1275"/>
        <w:gridCol w:w="1276"/>
        <w:gridCol w:w="10"/>
        <w:gridCol w:w="1408"/>
        <w:gridCol w:w="1337"/>
      </w:tblGrid>
      <w:tr w:rsidR="004B4774" w:rsidRPr="007C7906" w:rsidTr="009A5A02">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0D0D0D" w:themeFill="text1" w:themeFillTint="F2"/>
            <w:noWrap/>
            <w:vAlign w:val="bottom"/>
            <w:hideMark/>
          </w:tcPr>
          <w:p w:rsidR="004B4774" w:rsidRPr="007C7906" w:rsidRDefault="004B4774" w:rsidP="009A5A02">
            <w:pPr>
              <w:spacing w:line="240" w:lineRule="auto"/>
              <w:rPr>
                <w:rFonts w:ascii="Arial" w:eastAsia="Times New Roman" w:hAnsi="Arial" w:cs="Arial"/>
                <w:i/>
                <w:iCs/>
                <w:color w:val="FFFFFF" w:themeColor="background1"/>
                <w:lang w:eastAsia="en-GB"/>
              </w:rPr>
            </w:pPr>
            <w:r w:rsidRPr="007C7906">
              <w:rPr>
                <w:rFonts w:ascii="Arial" w:eastAsia="Times New Roman" w:hAnsi="Arial" w:cs="Arial"/>
                <w:i/>
                <w:iCs/>
                <w:color w:val="FFFFFF" w:themeColor="background1"/>
                <w:lang w:eastAsia="en-GB"/>
              </w:rPr>
              <w:t> </w:t>
            </w:r>
          </w:p>
        </w:tc>
        <w:tc>
          <w:tcPr>
            <w:tcW w:w="2783" w:type="dxa"/>
            <w:gridSpan w:val="2"/>
            <w:tcBorders>
              <w:top w:val="single" w:sz="4" w:space="0" w:color="auto"/>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sidRPr="007C6260">
              <w:rPr>
                <w:rFonts w:ascii="Arial" w:eastAsia="Times New Roman" w:hAnsi="Arial" w:cs="Arial"/>
                <w:iCs/>
                <w:color w:val="FFFFFF" w:themeColor="background1"/>
                <w:lang w:eastAsia="en-GB"/>
              </w:rPr>
              <w:t>Prices in January 2007</w:t>
            </w:r>
          </w:p>
        </w:tc>
        <w:tc>
          <w:tcPr>
            <w:tcW w:w="2561" w:type="dxa"/>
            <w:gridSpan w:val="3"/>
            <w:tcBorders>
              <w:top w:val="single" w:sz="4" w:space="0" w:color="auto"/>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rPr>
                <w:rFonts w:ascii="Arial" w:eastAsia="Times New Roman" w:hAnsi="Arial" w:cs="Arial"/>
                <w:iCs/>
                <w:color w:val="FFFFFF" w:themeColor="background1"/>
                <w:lang w:eastAsia="en-GB"/>
              </w:rPr>
            </w:pPr>
            <w:r w:rsidRPr="007C6260">
              <w:rPr>
                <w:rFonts w:ascii="Arial" w:eastAsia="Times New Roman" w:hAnsi="Arial" w:cs="Arial"/>
                <w:iCs/>
                <w:color w:val="FFFFFF" w:themeColor="background1"/>
                <w:lang w:eastAsia="en-GB"/>
              </w:rPr>
              <w:t>Prices in December 2016</w:t>
            </w:r>
          </w:p>
        </w:tc>
        <w:tc>
          <w:tcPr>
            <w:tcW w:w="2745" w:type="dxa"/>
            <w:gridSpan w:val="2"/>
            <w:tcBorders>
              <w:top w:val="single" w:sz="4" w:space="0" w:color="auto"/>
              <w:left w:val="nil"/>
              <w:bottom w:val="single" w:sz="4" w:space="0" w:color="auto"/>
              <w:right w:val="single" w:sz="4" w:space="0" w:color="auto"/>
            </w:tcBorders>
            <w:shd w:val="clear" w:color="auto" w:fill="0D0D0D" w:themeFill="text1" w:themeFillTint="F2"/>
            <w:vAlign w:val="bottom"/>
          </w:tcPr>
          <w:p w:rsidR="004B4774" w:rsidRPr="007C6260" w:rsidRDefault="004B4774" w:rsidP="009A5A02">
            <w:pPr>
              <w:spacing w:line="240" w:lineRule="auto"/>
              <w:rPr>
                <w:rFonts w:ascii="Arial" w:eastAsia="Times New Roman" w:hAnsi="Arial" w:cs="Arial"/>
                <w:iCs/>
                <w:color w:val="FFFFFF" w:themeColor="background1"/>
                <w:lang w:eastAsia="en-GB"/>
              </w:rPr>
            </w:pPr>
            <w:r w:rsidRPr="007C6260">
              <w:rPr>
                <w:rFonts w:ascii="Arial" w:eastAsia="Times New Roman" w:hAnsi="Arial" w:cs="Arial"/>
                <w:iCs/>
                <w:color w:val="FFFFFF" w:themeColor="background1"/>
                <w:lang w:eastAsia="en-GB"/>
              </w:rPr>
              <w:t>Percentage Growth in Prices</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auto" w:fill="0D0D0D" w:themeFill="text1" w:themeFillTint="F2"/>
            <w:noWrap/>
            <w:vAlign w:val="bottom"/>
            <w:hideMark/>
          </w:tcPr>
          <w:p w:rsidR="004B4774" w:rsidRPr="007C7906" w:rsidRDefault="004B4774" w:rsidP="009A5A02">
            <w:pPr>
              <w:spacing w:line="240" w:lineRule="auto"/>
              <w:rPr>
                <w:rFonts w:ascii="Arial" w:eastAsia="Times New Roman" w:hAnsi="Arial" w:cs="Arial"/>
                <w:i/>
                <w:iCs/>
                <w:color w:val="FFFFFF" w:themeColor="background1"/>
                <w:lang w:eastAsia="en-GB"/>
              </w:rPr>
            </w:pPr>
            <w:r w:rsidRPr="007C7906">
              <w:rPr>
                <w:rFonts w:ascii="Arial" w:eastAsia="Times New Roman" w:hAnsi="Arial" w:cs="Arial"/>
                <w:i/>
                <w:iCs/>
                <w:color w:val="FFFFFF" w:themeColor="background1"/>
                <w:lang w:eastAsia="en-GB"/>
              </w:rPr>
              <w:t> </w:t>
            </w:r>
          </w:p>
        </w:tc>
        <w:tc>
          <w:tcPr>
            <w:tcW w:w="1365" w:type="dxa"/>
            <w:tcBorders>
              <w:top w:val="nil"/>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West Wittering</w:t>
            </w:r>
          </w:p>
        </w:tc>
        <w:tc>
          <w:tcPr>
            <w:tcW w:w="1418" w:type="dxa"/>
            <w:tcBorders>
              <w:top w:val="nil"/>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Chichester</w:t>
            </w:r>
          </w:p>
        </w:tc>
        <w:tc>
          <w:tcPr>
            <w:tcW w:w="1275" w:type="dxa"/>
            <w:tcBorders>
              <w:top w:val="nil"/>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West Wittering</w:t>
            </w:r>
          </w:p>
        </w:tc>
        <w:tc>
          <w:tcPr>
            <w:tcW w:w="1276" w:type="dxa"/>
            <w:tcBorders>
              <w:top w:val="single" w:sz="4" w:space="0" w:color="auto"/>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Chichester</w:t>
            </w:r>
          </w:p>
        </w:tc>
        <w:tc>
          <w:tcPr>
            <w:tcW w:w="1418" w:type="dxa"/>
            <w:gridSpan w:val="2"/>
            <w:tcBorders>
              <w:top w:val="single" w:sz="4" w:space="0" w:color="auto"/>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West Wittering</w:t>
            </w:r>
          </w:p>
        </w:tc>
        <w:tc>
          <w:tcPr>
            <w:tcW w:w="1337" w:type="dxa"/>
            <w:tcBorders>
              <w:top w:val="nil"/>
              <w:left w:val="nil"/>
              <w:bottom w:val="single" w:sz="4" w:space="0" w:color="auto"/>
              <w:right w:val="single" w:sz="4" w:space="0" w:color="auto"/>
            </w:tcBorders>
            <w:shd w:val="clear" w:color="auto" w:fill="0D0D0D" w:themeFill="text1" w:themeFillTint="F2"/>
            <w:noWrap/>
            <w:vAlign w:val="bottom"/>
            <w:hideMark/>
          </w:tcPr>
          <w:p w:rsidR="004B4774" w:rsidRPr="007C6260" w:rsidRDefault="004B4774" w:rsidP="009A5A02">
            <w:pPr>
              <w:spacing w:line="240" w:lineRule="auto"/>
              <w:jc w:val="center"/>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Chichester</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7C7906" w:rsidRDefault="004B4774" w:rsidP="009A5A02">
            <w:pPr>
              <w:spacing w:line="240" w:lineRule="auto"/>
              <w:rPr>
                <w:rFonts w:ascii="Arial" w:eastAsia="Times New Roman" w:hAnsi="Arial" w:cs="Arial"/>
                <w:color w:val="000000"/>
                <w:lang w:eastAsia="en-GB"/>
              </w:rPr>
            </w:pPr>
            <w:r w:rsidRPr="007C7906">
              <w:rPr>
                <w:rFonts w:ascii="Arial" w:eastAsia="Times New Roman" w:hAnsi="Arial" w:cs="Arial"/>
                <w:color w:val="000000"/>
                <w:lang w:eastAsia="en-GB"/>
              </w:rPr>
              <w:t>Detached</w:t>
            </w:r>
          </w:p>
        </w:tc>
        <w:tc>
          <w:tcPr>
            <w:tcW w:w="136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£591,476</w:t>
            </w:r>
          </w:p>
        </w:tc>
        <w:tc>
          <w:tcPr>
            <w:tcW w:w="1418"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£400,060</w:t>
            </w:r>
          </w:p>
        </w:tc>
        <w:tc>
          <w:tcPr>
            <w:tcW w:w="127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£664,593</w:t>
            </w:r>
          </w:p>
        </w:tc>
        <w:tc>
          <w:tcPr>
            <w:tcW w:w="1276"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£562,604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12%</w:t>
            </w:r>
          </w:p>
        </w:tc>
        <w:tc>
          <w:tcPr>
            <w:tcW w:w="1337"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41%</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7C7906" w:rsidRDefault="004B4774" w:rsidP="009A5A02">
            <w:pPr>
              <w:spacing w:line="240" w:lineRule="auto"/>
              <w:rPr>
                <w:rFonts w:ascii="Arial" w:eastAsia="Times New Roman" w:hAnsi="Arial" w:cs="Arial"/>
                <w:color w:val="000000"/>
                <w:lang w:eastAsia="en-GB"/>
              </w:rPr>
            </w:pPr>
            <w:r w:rsidRPr="007C7906">
              <w:rPr>
                <w:rFonts w:ascii="Arial" w:eastAsia="Times New Roman" w:hAnsi="Arial" w:cs="Arial"/>
                <w:color w:val="000000"/>
                <w:lang w:eastAsia="en-GB"/>
              </w:rPr>
              <w:t>Semi-Detached</w:t>
            </w:r>
          </w:p>
        </w:tc>
        <w:tc>
          <w:tcPr>
            <w:tcW w:w="136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£279,040</w:t>
            </w:r>
          </w:p>
        </w:tc>
        <w:tc>
          <w:tcPr>
            <w:tcW w:w="1418"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£246,866</w:t>
            </w:r>
          </w:p>
        </w:tc>
        <w:tc>
          <w:tcPr>
            <w:tcW w:w="127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£319,341</w:t>
            </w:r>
          </w:p>
        </w:tc>
        <w:tc>
          <w:tcPr>
            <w:tcW w:w="1276"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£331,552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14%</w:t>
            </w:r>
          </w:p>
        </w:tc>
        <w:tc>
          <w:tcPr>
            <w:tcW w:w="1337"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34%</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7C7906" w:rsidRDefault="004B4774" w:rsidP="009A5A02">
            <w:pPr>
              <w:spacing w:line="240" w:lineRule="auto"/>
              <w:rPr>
                <w:rFonts w:ascii="Arial" w:eastAsia="Times New Roman" w:hAnsi="Arial" w:cs="Arial"/>
                <w:color w:val="000000"/>
                <w:lang w:eastAsia="en-GB"/>
              </w:rPr>
            </w:pPr>
            <w:r w:rsidRPr="007C7906">
              <w:rPr>
                <w:rFonts w:ascii="Arial" w:eastAsia="Times New Roman" w:hAnsi="Arial" w:cs="Arial"/>
                <w:color w:val="000000"/>
                <w:lang w:eastAsia="en-GB"/>
              </w:rPr>
              <w:t>Terraced</w:t>
            </w:r>
          </w:p>
        </w:tc>
        <w:tc>
          <w:tcPr>
            <w:tcW w:w="136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£203,000</w:t>
            </w:r>
          </w:p>
        </w:tc>
        <w:tc>
          <w:tcPr>
            <w:tcW w:w="1418"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£219,554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£314,650</w:t>
            </w:r>
          </w:p>
        </w:tc>
        <w:tc>
          <w:tcPr>
            <w:tcW w:w="1276"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£290,372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55%</w:t>
            </w:r>
          </w:p>
        </w:tc>
        <w:tc>
          <w:tcPr>
            <w:tcW w:w="1337"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32%</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7C7906" w:rsidRDefault="004B4774" w:rsidP="009A5A02">
            <w:pPr>
              <w:spacing w:line="240" w:lineRule="auto"/>
              <w:rPr>
                <w:rFonts w:ascii="Arial" w:eastAsia="Times New Roman" w:hAnsi="Arial" w:cs="Arial"/>
                <w:color w:val="000000"/>
                <w:lang w:eastAsia="en-GB"/>
              </w:rPr>
            </w:pPr>
            <w:r w:rsidRPr="007C7906">
              <w:rPr>
                <w:rFonts w:ascii="Arial" w:eastAsia="Times New Roman" w:hAnsi="Arial" w:cs="Arial"/>
                <w:color w:val="000000"/>
                <w:lang w:eastAsia="en-GB"/>
              </w:rPr>
              <w:t>Flats</w:t>
            </w:r>
          </w:p>
        </w:tc>
        <w:tc>
          <w:tcPr>
            <w:tcW w:w="136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£198,590</w:t>
            </w:r>
          </w:p>
        </w:tc>
        <w:tc>
          <w:tcPr>
            <w:tcW w:w="1418"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£164,080</w:t>
            </w:r>
          </w:p>
        </w:tc>
        <w:tc>
          <w:tcPr>
            <w:tcW w:w="127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£284,993</w:t>
            </w:r>
          </w:p>
        </w:tc>
        <w:tc>
          <w:tcPr>
            <w:tcW w:w="1276"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£199,532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44%</w:t>
            </w:r>
          </w:p>
        </w:tc>
        <w:tc>
          <w:tcPr>
            <w:tcW w:w="1337"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22%</w:t>
            </w:r>
          </w:p>
        </w:tc>
      </w:tr>
      <w:tr w:rsidR="004B4774" w:rsidRPr="007C7906" w:rsidTr="009A5A02">
        <w:trPr>
          <w:trHeight w:val="288"/>
        </w:trPr>
        <w:tc>
          <w:tcPr>
            <w:tcW w:w="1060"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7C7906" w:rsidRDefault="004B4774" w:rsidP="009A5A02">
            <w:pPr>
              <w:spacing w:line="240" w:lineRule="auto"/>
              <w:rPr>
                <w:rFonts w:ascii="Arial" w:eastAsia="Times New Roman" w:hAnsi="Arial" w:cs="Arial"/>
                <w:i/>
                <w:iCs/>
                <w:color w:val="000000"/>
                <w:lang w:eastAsia="en-GB"/>
              </w:rPr>
            </w:pPr>
            <w:r w:rsidRPr="007C7906">
              <w:rPr>
                <w:rFonts w:ascii="Arial" w:eastAsia="Times New Roman" w:hAnsi="Arial" w:cs="Arial"/>
                <w:i/>
                <w:iCs/>
                <w:color w:val="000000"/>
                <w:lang w:eastAsia="en-GB"/>
              </w:rPr>
              <w:t>All Types</w:t>
            </w:r>
          </w:p>
        </w:tc>
        <w:tc>
          <w:tcPr>
            <w:tcW w:w="136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£457,185</w:t>
            </w:r>
          </w:p>
        </w:tc>
        <w:tc>
          <w:tcPr>
            <w:tcW w:w="1418"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£266,474</w:t>
            </w:r>
          </w:p>
        </w:tc>
        <w:tc>
          <w:tcPr>
            <w:tcW w:w="1275"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£541,512</w:t>
            </w:r>
          </w:p>
        </w:tc>
        <w:tc>
          <w:tcPr>
            <w:tcW w:w="1276"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spacing w:line="240" w:lineRule="auto"/>
              <w:jc w:val="right"/>
              <w:rPr>
                <w:rFonts w:eastAsia="Times New Roman" w:cstheme="minorHAnsi"/>
                <w:color w:val="000000"/>
                <w:lang w:eastAsia="en-GB"/>
              </w:rPr>
            </w:pPr>
            <w:r w:rsidRPr="00F162A9">
              <w:rPr>
                <w:rFonts w:cstheme="minorHAnsi"/>
                <w:color w:val="000000"/>
              </w:rPr>
              <w:t>£353,763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18%</w:t>
            </w:r>
          </w:p>
        </w:tc>
        <w:tc>
          <w:tcPr>
            <w:tcW w:w="1337" w:type="dxa"/>
            <w:tcBorders>
              <w:top w:val="nil"/>
              <w:left w:val="nil"/>
              <w:bottom w:val="single" w:sz="4" w:space="0" w:color="auto"/>
              <w:right w:val="single" w:sz="4" w:space="0" w:color="auto"/>
            </w:tcBorders>
            <w:shd w:val="clear" w:color="auto" w:fill="auto"/>
            <w:noWrap/>
            <w:vAlign w:val="bottom"/>
            <w:hideMark/>
          </w:tcPr>
          <w:p w:rsidR="004B4774" w:rsidRPr="00F162A9" w:rsidRDefault="004B4774" w:rsidP="009A5A02">
            <w:pPr>
              <w:rPr>
                <w:rFonts w:cstheme="minorHAnsi"/>
                <w:color w:val="000000"/>
              </w:rPr>
            </w:pPr>
            <w:r w:rsidRPr="00F162A9">
              <w:rPr>
                <w:rFonts w:cstheme="minorHAnsi"/>
                <w:color w:val="000000"/>
              </w:rPr>
              <w:t>33%</w:t>
            </w:r>
          </w:p>
        </w:tc>
      </w:tr>
    </w:tbl>
    <w:p w:rsidR="004B4774" w:rsidRDefault="004B4774" w:rsidP="004B4774">
      <w:pPr>
        <w:pStyle w:val="Source"/>
      </w:pPr>
      <w:r w:rsidRPr="00D93356">
        <w:t xml:space="preserve">Source: Land Registry PPD, AECOM </w:t>
      </w:r>
      <w:r w:rsidR="001157B7">
        <w:t>c</w:t>
      </w:r>
      <w:r w:rsidRPr="00D93356">
        <w:t>alculations</w:t>
      </w:r>
    </w:p>
    <w:p w:rsidR="004B4774" w:rsidRPr="00DF5929" w:rsidRDefault="004B4774" w:rsidP="004B4774">
      <w:pPr>
        <w:pStyle w:val="ListNumber"/>
        <w:rPr>
          <w:lang w:val="en-US"/>
        </w:rPr>
      </w:pPr>
      <w:r>
        <w:rPr>
          <w:lang w:val="en-US"/>
        </w:rPr>
        <w:t xml:space="preserve">Within the broader housing market, </w:t>
      </w:r>
      <w:r>
        <w:rPr>
          <w:lang w:val="en-US"/>
        </w:rPr>
        <w:fldChar w:fldCharType="begin"/>
      </w:r>
      <w:r>
        <w:rPr>
          <w:lang w:val="en-US"/>
        </w:rPr>
        <w:instrText xml:space="preserve"> REF _Ref495654460 \h </w:instrText>
      </w:r>
      <w:r>
        <w:rPr>
          <w:lang w:val="en-US"/>
        </w:rPr>
      </w:r>
      <w:r>
        <w:rPr>
          <w:lang w:val="en-US"/>
        </w:rPr>
        <w:fldChar w:fldCharType="separate"/>
      </w:r>
      <w:r w:rsidRPr="005C2CD6">
        <w:t xml:space="preserve">Figure </w:t>
      </w:r>
      <w:r>
        <w:rPr>
          <w:noProof/>
        </w:rPr>
        <w:t>5</w:t>
      </w:r>
      <w:r>
        <w:rPr>
          <w:lang w:val="en-US"/>
        </w:rPr>
        <w:fldChar w:fldCharType="end"/>
      </w:r>
      <w:r>
        <w:rPr>
          <w:lang w:val="en-US"/>
        </w:rPr>
        <w:t xml:space="preserve"> shows that in Coastal West Sussex, </w:t>
      </w:r>
      <w:r w:rsidRPr="00BA7F41">
        <w:rPr>
          <w:lang w:val="en-US"/>
        </w:rPr>
        <w:t xml:space="preserve">the strongest growth in prices has been in </w:t>
      </w:r>
      <w:proofErr w:type="spellStart"/>
      <w:r w:rsidRPr="00BA7F41">
        <w:rPr>
          <w:lang w:val="en-US"/>
        </w:rPr>
        <w:t>Adur</w:t>
      </w:r>
      <w:proofErr w:type="spellEnd"/>
      <w:r w:rsidRPr="00BA7F41">
        <w:rPr>
          <w:lang w:val="en-US"/>
        </w:rPr>
        <w:t xml:space="preserve"> </w:t>
      </w:r>
      <w:r w:rsidR="005F5CF8">
        <w:rPr>
          <w:lang w:val="en-US"/>
        </w:rPr>
        <w:t>District</w:t>
      </w:r>
      <w:r w:rsidRPr="00BA7F41">
        <w:rPr>
          <w:lang w:val="en-US"/>
        </w:rPr>
        <w:t xml:space="preserve"> (8.7%) and </w:t>
      </w:r>
      <w:proofErr w:type="spellStart"/>
      <w:r w:rsidRPr="00BA7F41">
        <w:rPr>
          <w:lang w:val="en-US"/>
        </w:rPr>
        <w:t>Chichester</w:t>
      </w:r>
      <w:proofErr w:type="spellEnd"/>
      <w:r w:rsidRPr="00BA7F41">
        <w:rPr>
          <w:lang w:val="en-US"/>
        </w:rPr>
        <w:t xml:space="preserve"> </w:t>
      </w:r>
      <w:r w:rsidR="005F5CF8">
        <w:rPr>
          <w:lang w:val="en-US"/>
        </w:rPr>
        <w:t>District</w:t>
      </w:r>
      <w:r w:rsidRPr="00BA7F41">
        <w:rPr>
          <w:lang w:val="en-US"/>
        </w:rPr>
        <w:t xml:space="preserve"> (8.0%) </w:t>
      </w:r>
      <w:r>
        <w:rPr>
          <w:lang w:val="en-US"/>
        </w:rPr>
        <w:t>between 2008 and 2011</w:t>
      </w:r>
      <w:r w:rsidRPr="00BA7F41">
        <w:rPr>
          <w:lang w:val="en-US"/>
        </w:rPr>
        <w:t xml:space="preserve"> with stronge</w:t>
      </w:r>
      <w:r>
        <w:rPr>
          <w:lang w:val="en-US"/>
        </w:rPr>
        <w:t xml:space="preserve">r growth recorded than average </w:t>
      </w:r>
      <w:r w:rsidRPr="00BA7F41">
        <w:rPr>
          <w:lang w:val="en-US"/>
        </w:rPr>
        <w:t>for the region</w:t>
      </w:r>
      <w:r>
        <w:rPr>
          <w:rStyle w:val="FootnoteReference"/>
          <w:lang w:val="en-US"/>
        </w:rPr>
        <w:footnoteReference w:id="53"/>
      </w:r>
      <w:r w:rsidRPr="00BA7F41">
        <w:rPr>
          <w:lang w:val="en-US"/>
        </w:rPr>
        <w:t>.</w:t>
      </w:r>
      <w:r w:rsidRPr="00083DF4">
        <w:t xml:space="preserve"> </w:t>
      </w:r>
      <w:proofErr w:type="spellStart"/>
      <w:r w:rsidRPr="00083DF4">
        <w:rPr>
          <w:lang w:val="en-US"/>
        </w:rPr>
        <w:t>Chichester</w:t>
      </w:r>
      <w:proofErr w:type="spellEnd"/>
      <w:r w:rsidRPr="00083DF4">
        <w:rPr>
          <w:lang w:val="en-US"/>
        </w:rPr>
        <w:t xml:space="preserve"> </w:t>
      </w:r>
      <w:r w:rsidR="005F5CF8">
        <w:rPr>
          <w:lang w:val="en-US"/>
        </w:rPr>
        <w:t>District</w:t>
      </w:r>
      <w:r w:rsidRPr="00083DF4">
        <w:rPr>
          <w:lang w:val="en-US"/>
        </w:rPr>
        <w:t>’s stronger housing market perf</w:t>
      </w:r>
      <w:r>
        <w:rPr>
          <w:lang w:val="en-US"/>
        </w:rPr>
        <w:t xml:space="preserve">ormance corresponds with </w:t>
      </w:r>
      <w:r w:rsidRPr="00083DF4">
        <w:rPr>
          <w:lang w:val="en-US"/>
        </w:rPr>
        <w:t>its stronger economic characteristics and recent performance</w:t>
      </w:r>
      <w:r>
        <w:rPr>
          <w:rStyle w:val="FootnoteReference"/>
          <w:lang w:val="en-US"/>
        </w:rPr>
        <w:footnoteReference w:id="54"/>
      </w:r>
      <w:r w:rsidRPr="00083DF4">
        <w:rPr>
          <w:lang w:val="en-US"/>
        </w:rPr>
        <w:t>.</w:t>
      </w:r>
      <w:r>
        <w:rPr>
          <w:lang w:val="en-US"/>
        </w:rPr>
        <w:t xml:space="preserve"> However, it has to be noted than </w:t>
      </w:r>
      <w:r w:rsidRPr="000D2107">
        <w:rPr>
          <w:lang w:val="en-US"/>
        </w:rPr>
        <w:t>average house prices</w:t>
      </w:r>
      <w:r>
        <w:rPr>
          <w:lang w:val="en-US"/>
        </w:rPr>
        <w:t xml:space="preserve"> in </w:t>
      </w:r>
      <w:proofErr w:type="spellStart"/>
      <w:r>
        <w:rPr>
          <w:lang w:val="en-US"/>
        </w:rPr>
        <w:t>Chichester</w:t>
      </w:r>
      <w:proofErr w:type="spellEnd"/>
      <w:r w:rsidRPr="000D2107">
        <w:rPr>
          <w:lang w:val="en-US"/>
        </w:rPr>
        <w:t xml:space="preserve"> </w:t>
      </w:r>
      <w:r>
        <w:rPr>
          <w:lang w:val="en-US"/>
        </w:rPr>
        <w:t xml:space="preserve">and in West </w:t>
      </w:r>
      <w:proofErr w:type="spellStart"/>
      <w:r>
        <w:rPr>
          <w:lang w:val="en-US"/>
        </w:rPr>
        <w:t>Wittering</w:t>
      </w:r>
      <w:proofErr w:type="spellEnd"/>
      <w:r>
        <w:rPr>
          <w:lang w:val="en-US"/>
        </w:rPr>
        <w:t xml:space="preserve"> </w:t>
      </w:r>
      <w:r w:rsidRPr="000D2107">
        <w:rPr>
          <w:lang w:val="en-US"/>
        </w:rPr>
        <w:t>are skewed by a greater presence of detached housing.</w:t>
      </w:r>
    </w:p>
    <w:p w:rsidR="004B4774" w:rsidRPr="0017017E" w:rsidRDefault="004B4774" w:rsidP="004B4774">
      <w:pPr>
        <w:pStyle w:val="Caption"/>
      </w:pPr>
      <w:bookmarkStart w:id="168" w:name="_Ref495654460"/>
      <w:bookmarkStart w:id="169" w:name="_Toc495920045"/>
      <w:r w:rsidRPr="005C2CD6">
        <w:t xml:space="preserve">Figure </w:t>
      </w:r>
      <w:fldSimple w:instr=" SEQ Figure \* ARABIC ">
        <w:r w:rsidR="00A258B5">
          <w:rPr>
            <w:noProof/>
          </w:rPr>
          <w:t>9</w:t>
        </w:r>
      </w:fldSimple>
      <w:bookmarkEnd w:id="168"/>
      <w:r>
        <w:t>: Coastal West Sussex</w:t>
      </w:r>
      <w:r w:rsidRPr="00A23888">
        <w:t xml:space="preserve"> </w:t>
      </w:r>
      <w:r w:rsidR="001157B7">
        <w:t>m</w:t>
      </w:r>
      <w:r w:rsidRPr="00A23888">
        <w:t xml:space="preserve">edian </w:t>
      </w:r>
      <w:r w:rsidR="001157B7">
        <w:t>h</w:t>
      </w:r>
      <w:r w:rsidRPr="00A23888">
        <w:t xml:space="preserve">ouse </w:t>
      </w:r>
      <w:r w:rsidR="001157B7">
        <w:t>p</w:t>
      </w:r>
      <w:r w:rsidRPr="00A23888">
        <w:t>rice, 2008-11</w:t>
      </w:r>
      <w:bookmarkEnd w:id="169"/>
    </w:p>
    <w:p w:rsidR="004B4774" w:rsidRPr="00357725" w:rsidRDefault="004B4774" w:rsidP="004B4774">
      <w:pPr>
        <w:pStyle w:val="ListNumber"/>
        <w:numPr>
          <w:ilvl w:val="0"/>
          <w:numId w:val="0"/>
        </w:numPr>
        <w:ind w:left="425" w:hanging="425"/>
        <w:rPr>
          <w:lang w:val="en-US"/>
        </w:rPr>
      </w:pPr>
      <w:r>
        <w:rPr>
          <w:noProof/>
          <w:lang w:eastAsia="en-GB"/>
        </w:rPr>
        <w:drawing>
          <wp:inline distT="0" distB="0" distL="0" distR="0" wp14:anchorId="0AD023BE" wp14:editId="6DF7E61F">
            <wp:extent cx="5700254" cy="302540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00254" cy="3025402"/>
                    </a:xfrm>
                    <a:prstGeom prst="rect">
                      <a:avLst/>
                    </a:prstGeom>
                  </pic:spPr>
                </pic:pic>
              </a:graphicData>
            </a:graphic>
          </wp:inline>
        </w:drawing>
      </w:r>
    </w:p>
    <w:p w:rsidR="004B4774" w:rsidRDefault="004B4774" w:rsidP="004B4774">
      <w:pPr>
        <w:pStyle w:val="Source"/>
      </w:pPr>
      <w:r w:rsidRPr="00FF08C3">
        <w:t xml:space="preserve">Source: </w:t>
      </w:r>
      <w:r>
        <w:t>HMLR/SHMA 2012</w:t>
      </w:r>
    </w:p>
    <w:p w:rsidR="004B4774" w:rsidRPr="00AC1126" w:rsidRDefault="004B4774" w:rsidP="004B4774">
      <w:pPr>
        <w:pStyle w:val="Source"/>
      </w:pPr>
    </w:p>
    <w:p w:rsidR="004B4774" w:rsidRDefault="004B4774" w:rsidP="004B4774">
      <w:pPr>
        <w:pStyle w:val="Heading2"/>
        <w:rPr>
          <w:lang w:val="en-US"/>
        </w:rPr>
      </w:pPr>
      <w:bookmarkStart w:id="170" w:name="_Toc495920032"/>
      <w:bookmarkStart w:id="171" w:name="_Toc504464750"/>
      <w:r>
        <w:rPr>
          <w:lang w:val="en-US"/>
        </w:rPr>
        <w:t xml:space="preserve">Housing transactions: </w:t>
      </w:r>
      <w:r w:rsidR="001157B7">
        <w:rPr>
          <w:lang w:val="en-US"/>
        </w:rPr>
        <w:t>v</w:t>
      </w:r>
      <w:r>
        <w:rPr>
          <w:lang w:val="en-US"/>
        </w:rPr>
        <w:t>olume</w:t>
      </w:r>
      <w:bookmarkEnd w:id="170"/>
      <w:bookmarkEnd w:id="171"/>
    </w:p>
    <w:p w:rsidR="004B4774" w:rsidRPr="00983216" w:rsidRDefault="004B4774" w:rsidP="00A258B5">
      <w:pPr>
        <w:pStyle w:val="ListNumber"/>
      </w:pPr>
      <w:r w:rsidRPr="00404DE8">
        <w:rPr>
          <w:lang w:val="en-US"/>
        </w:rPr>
        <w:fldChar w:fldCharType="begin"/>
      </w:r>
      <w:r w:rsidRPr="00404DE8">
        <w:rPr>
          <w:lang w:val="en-US"/>
        </w:rPr>
        <w:instrText xml:space="preserve"> REF _Ref495655695 \h </w:instrText>
      </w:r>
      <w:r w:rsidRPr="00404DE8">
        <w:rPr>
          <w:lang w:val="en-US"/>
        </w:rPr>
      </w:r>
      <w:r w:rsidRPr="00404DE8">
        <w:rPr>
          <w:lang w:val="en-US"/>
        </w:rPr>
        <w:fldChar w:fldCharType="separate"/>
      </w:r>
      <w:r w:rsidR="00A258B5">
        <w:t xml:space="preserve">Figure </w:t>
      </w:r>
      <w:r w:rsidR="00A258B5">
        <w:rPr>
          <w:noProof/>
        </w:rPr>
        <w:t>10</w:t>
      </w:r>
      <w:r w:rsidRPr="00404DE8">
        <w:rPr>
          <w:lang w:val="en-US"/>
        </w:rPr>
        <w:fldChar w:fldCharType="end"/>
      </w:r>
      <w:r w:rsidRPr="00404DE8">
        <w:rPr>
          <w:lang w:val="en-US"/>
        </w:rPr>
        <w:t xml:space="preserve"> depicts </w:t>
      </w:r>
      <w:r w:rsidRPr="00E84D36">
        <w:t xml:space="preserve">the relative proportions of different housing typologies sold in </w:t>
      </w:r>
      <w:r>
        <w:t>West Wittering</w:t>
      </w:r>
      <w:r w:rsidRPr="00E84D36">
        <w:t xml:space="preserve"> between 2007 and 2016.</w:t>
      </w:r>
      <w:r>
        <w:t xml:space="preserve"> </w:t>
      </w:r>
      <w:r w:rsidRPr="00E84D36">
        <w:t>This graph represents the same Land Registry data discussed in the previous sectio</w:t>
      </w:r>
      <w:r>
        <w:t>n separated out by housing type. This graph shows the effects of the national recession, it is clear that transaction volumes had not, in 2016, returned to pre-recession levels.</w:t>
      </w:r>
    </w:p>
    <w:p w:rsidR="004B4774" w:rsidRDefault="004B4774" w:rsidP="004B4774">
      <w:pPr>
        <w:pStyle w:val="Caption"/>
      </w:pPr>
      <w:bookmarkStart w:id="172" w:name="_Ref495655695"/>
      <w:bookmarkStart w:id="173" w:name="_Toc489356072"/>
      <w:bookmarkStart w:id="174" w:name="_Toc495920046"/>
      <w:r>
        <w:lastRenderedPageBreak/>
        <w:t xml:space="preserve">Figure </w:t>
      </w:r>
      <w:fldSimple w:instr=" SEQ Figure \* ARABIC ">
        <w:r w:rsidR="00A258B5">
          <w:rPr>
            <w:noProof/>
          </w:rPr>
          <w:t>10</w:t>
        </w:r>
      </w:fldSimple>
      <w:bookmarkEnd w:id="172"/>
      <w:r>
        <w:t xml:space="preserve">: </w:t>
      </w:r>
      <w:r w:rsidRPr="005E7AD5">
        <w:t xml:space="preserve">Sales volumes of different housing types in </w:t>
      </w:r>
      <w:r>
        <w:t>West Wittering</w:t>
      </w:r>
      <w:r w:rsidRPr="005E7AD5">
        <w:t>, 2007-2016</w:t>
      </w:r>
      <w:bookmarkEnd w:id="173"/>
      <w:bookmarkEnd w:id="174"/>
    </w:p>
    <w:p w:rsidR="004B4774" w:rsidRPr="00065FF7" w:rsidRDefault="004B4774" w:rsidP="004B4774">
      <w:pPr>
        <w:pStyle w:val="BodyText"/>
      </w:pPr>
      <w:r>
        <w:rPr>
          <w:noProof/>
          <w:lang w:eastAsia="en-GB"/>
        </w:rPr>
        <w:drawing>
          <wp:inline distT="0" distB="0" distL="0" distR="0" wp14:anchorId="5A4412A5" wp14:editId="008C26A0">
            <wp:extent cx="5731510" cy="2992558"/>
            <wp:effectExtent l="0" t="0" r="2159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4774" w:rsidRPr="00FF08C3" w:rsidRDefault="004B4774" w:rsidP="004B4774">
      <w:pPr>
        <w:pStyle w:val="Source"/>
      </w:pPr>
      <w:r w:rsidRPr="00FF08C3">
        <w:t xml:space="preserve">Source: Land Registry PPD, AECOM </w:t>
      </w:r>
      <w:r w:rsidR="001157B7">
        <w:t>c</w:t>
      </w:r>
      <w:r w:rsidRPr="00FF08C3">
        <w:t>alculations</w:t>
      </w:r>
    </w:p>
    <w:p w:rsidR="004B4774" w:rsidRPr="00B77F1A" w:rsidRDefault="004B4774" w:rsidP="00A258B5">
      <w:pPr>
        <w:pStyle w:val="ListNumber"/>
      </w:pPr>
      <w:r w:rsidRPr="00B77F1A">
        <w:t xml:space="preserve">Another approach to benchmarking whether sales volumes represent a clear market signal indicating inflated or depressed demand across different housing types is to compare the proportion of sales of each type of housing (excluding any new builds, which would introduce supply side factors) with the proportion of the existing housing stock that falls into each category. This allows conclusions to be drawn about whether the sale of homes of each type is occurring proportional to their availability, or there whether </w:t>
      </w:r>
      <w:r>
        <w:t xml:space="preserve">the high turnover of stock suggests strong, and possibly unmet, demand. </w:t>
      </w:r>
    </w:p>
    <w:p w:rsidR="004B4774" w:rsidRPr="00BD2368" w:rsidRDefault="004B4774" w:rsidP="00A258B5">
      <w:pPr>
        <w:pStyle w:val="ListNumber"/>
      </w:pPr>
      <w:r>
        <w:t xml:space="preserve">This comparison is presented in </w:t>
      </w:r>
      <w:r>
        <w:fldChar w:fldCharType="begin"/>
      </w:r>
      <w:r>
        <w:instrText xml:space="preserve"> REF _Ref495656518 \h </w:instrText>
      </w:r>
      <w:r>
        <w:fldChar w:fldCharType="separate"/>
      </w:r>
      <w:r w:rsidR="00A258B5">
        <w:t xml:space="preserve">Table </w:t>
      </w:r>
      <w:r w:rsidR="00A258B5">
        <w:rPr>
          <w:noProof/>
        </w:rPr>
        <w:t>24</w:t>
      </w:r>
      <w:r>
        <w:fldChar w:fldCharType="end"/>
      </w:r>
      <w:r w:rsidRPr="00BE2269">
        <w:t xml:space="preserve">, with figures for the housing stock in </w:t>
      </w:r>
      <w:r>
        <w:t xml:space="preserve">Chichester </w:t>
      </w:r>
      <w:r w:rsidR="005F5CF8">
        <w:t>District</w:t>
      </w:r>
      <w:r w:rsidRPr="00BE2269">
        <w:t xml:space="preserve"> as a whole presented alongside for reference.</w:t>
      </w:r>
      <w:r w:rsidRPr="0037212C">
        <w:t xml:space="preserve"> </w:t>
      </w:r>
      <w:r w:rsidRPr="00BE2269">
        <w:t xml:space="preserve">The table shows clearly that the percentage of sales and </w:t>
      </w:r>
      <w:r>
        <w:t>stock are roughly the same for detached housing and flats.</w:t>
      </w:r>
      <w:r w:rsidRPr="00BE2269">
        <w:t xml:space="preserve"> </w:t>
      </w:r>
      <w:r>
        <w:t xml:space="preserve">Detached housing comprised 64% of all transactions between 2007 and 2016 and accounts for 63% of the housing stock. Semi-detached housing comprised 23% of all transactions over the period while only accounting for 20% of the housing stock. This data indicate that semi-detached housing has a relatively higher turnover rate in the area than the other house types. It suggests that semi-detached houses are in high demand, but also frequently traded in West Wittering. </w:t>
      </w:r>
      <w:r>
        <w:fldChar w:fldCharType="begin"/>
      </w:r>
      <w:r>
        <w:instrText xml:space="preserve"> REF _Ref495656518 \h </w:instrText>
      </w:r>
      <w:r>
        <w:fldChar w:fldCharType="separate"/>
      </w:r>
      <w:r w:rsidR="00A258B5">
        <w:t xml:space="preserve">Table </w:t>
      </w:r>
      <w:r w:rsidR="00A258B5">
        <w:rPr>
          <w:noProof/>
        </w:rPr>
        <w:t>24</w:t>
      </w:r>
      <w:r>
        <w:fldChar w:fldCharType="end"/>
      </w:r>
      <w:r>
        <w:t xml:space="preserve"> also shows that fewer terraced houses </w:t>
      </w:r>
      <w:r w:rsidRPr="00BE2269">
        <w:t xml:space="preserve">are being sold </w:t>
      </w:r>
      <w:r>
        <w:t>than are</w:t>
      </w:r>
      <w:r w:rsidRPr="00BE2269">
        <w:t xml:space="preserve"> represented in the existing stock</w:t>
      </w:r>
      <w:r>
        <w:t>.</w:t>
      </w:r>
    </w:p>
    <w:p w:rsidR="004B4774" w:rsidRDefault="004B4774" w:rsidP="004B4774">
      <w:pPr>
        <w:pStyle w:val="Caption"/>
      </w:pPr>
      <w:bookmarkStart w:id="175" w:name="_Ref495656518"/>
      <w:bookmarkStart w:id="176" w:name="_Toc488669620"/>
      <w:bookmarkStart w:id="177" w:name="_Ref495656509"/>
      <w:bookmarkStart w:id="178" w:name="_Toc495920054"/>
      <w:r>
        <w:t xml:space="preserve">Table </w:t>
      </w:r>
      <w:fldSimple w:instr=" SEQ Table \* ARABIC ">
        <w:r w:rsidR="00B25544">
          <w:rPr>
            <w:noProof/>
          </w:rPr>
          <w:t>24</w:t>
        </w:r>
      </w:fldSimple>
      <w:bookmarkEnd w:id="175"/>
      <w:r>
        <w:t xml:space="preserve">: </w:t>
      </w:r>
      <w:r w:rsidRPr="003C7382">
        <w:t xml:space="preserve">Sales volumes versus stock of different housing types in </w:t>
      </w:r>
      <w:r>
        <w:t>West Wittering</w:t>
      </w:r>
      <w:r w:rsidRPr="003C7382">
        <w:t xml:space="preserve"> and </w:t>
      </w:r>
      <w:bookmarkEnd w:id="176"/>
      <w:r>
        <w:t>Chichester</w:t>
      </w:r>
      <w:bookmarkEnd w:id="177"/>
      <w:bookmarkEnd w:id="178"/>
    </w:p>
    <w:tbl>
      <w:tblPr>
        <w:tblW w:w="9087" w:type="dxa"/>
        <w:tblInd w:w="93" w:type="dxa"/>
        <w:tblLook w:val="04A0" w:firstRow="1" w:lastRow="0" w:firstColumn="1" w:lastColumn="0" w:noHBand="0" w:noVBand="1"/>
      </w:tblPr>
      <w:tblGrid>
        <w:gridCol w:w="1716"/>
        <w:gridCol w:w="2127"/>
        <w:gridCol w:w="2835"/>
        <w:gridCol w:w="2409"/>
      </w:tblGrid>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
                <w:iCs/>
                <w:color w:val="FFFFFF" w:themeColor="background1"/>
                <w:lang w:eastAsia="en-GB"/>
              </w:rPr>
            </w:pPr>
            <w:r w:rsidRPr="003471D1">
              <w:rPr>
                <w:rFonts w:ascii="Arial" w:eastAsia="Times New Roman" w:hAnsi="Arial" w:cs="Arial"/>
                <w:i/>
                <w:iCs/>
                <w:color w:val="FFFFFF" w:themeColor="background1"/>
                <w:lang w:eastAsia="en-GB"/>
              </w:rPr>
              <w:t> </w:t>
            </w:r>
          </w:p>
        </w:tc>
        <w:tc>
          <w:tcPr>
            <w:tcW w:w="2127"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sidRPr="003471D1">
              <w:rPr>
                <w:rFonts w:ascii="Arial" w:eastAsia="Times New Roman" w:hAnsi="Arial" w:cs="Arial"/>
                <w:iCs/>
                <w:color w:val="FFFFFF" w:themeColor="background1"/>
                <w:lang w:eastAsia="en-GB"/>
              </w:rPr>
              <w:t>SALES</w:t>
            </w:r>
            <w:r>
              <w:rPr>
                <w:rFonts w:ascii="Arial" w:eastAsia="Times New Roman" w:hAnsi="Arial" w:cs="Arial"/>
                <w:iCs/>
                <w:color w:val="FFFFFF" w:themeColor="background1"/>
                <w:lang w:eastAsia="en-GB"/>
              </w:rPr>
              <w:t xml:space="preserve"> (2007-2016)</w:t>
            </w:r>
          </w:p>
        </w:tc>
        <w:tc>
          <w:tcPr>
            <w:tcW w:w="2835"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sidRPr="003471D1">
              <w:rPr>
                <w:rFonts w:ascii="Arial" w:eastAsia="Times New Roman" w:hAnsi="Arial" w:cs="Arial"/>
                <w:iCs/>
                <w:color w:val="FFFFFF" w:themeColor="background1"/>
                <w:lang w:eastAsia="en-GB"/>
              </w:rPr>
              <w:t>STOCK</w:t>
            </w:r>
            <w:r>
              <w:rPr>
                <w:rFonts w:ascii="Arial" w:eastAsia="Times New Roman" w:hAnsi="Arial" w:cs="Arial"/>
                <w:iCs/>
                <w:color w:val="FFFFFF" w:themeColor="background1"/>
                <w:lang w:eastAsia="en-GB"/>
              </w:rPr>
              <w:t xml:space="preserve"> (2011)</w:t>
            </w:r>
          </w:p>
        </w:tc>
        <w:tc>
          <w:tcPr>
            <w:tcW w:w="2409"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sidRPr="003471D1">
              <w:rPr>
                <w:rFonts w:ascii="Arial" w:eastAsia="Times New Roman" w:hAnsi="Arial" w:cs="Arial"/>
                <w:iCs/>
                <w:color w:val="FFFFFF" w:themeColor="background1"/>
                <w:lang w:eastAsia="en-GB"/>
              </w:rPr>
              <w:t>STOCK</w:t>
            </w:r>
            <w:r>
              <w:rPr>
                <w:rFonts w:ascii="Arial" w:eastAsia="Times New Roman" w:hAnsi="Arial" w:cs="Arial"/>
                <w:iCs/>
                <w:color w:val="FFFFFF" w:themeColor="background1"/>
                <w:lang w:eastAsia="en-GB"/>
              </w:rPr>
              <w:t xml:space="preserve"> (2011)</w:t>
            </w:r>
          </w:p>
        </w:tc>
      </w:tr>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
                <w:iCs/>
                <w:color w:val="FFFFFF" w:themeColor="background1"/>
                <w:lang w:eastAsia="en-GB"/>
              </w:rPr>
            </w:pPr>
            <w:r w:rsidRPr="003471D1">
              <w:rPr>
                <w:rFonts w:ascii="Arial" w:eastAsia="Times New Roman" w:hAnsi="Arial" w:cs="Arial"/>
                <w:i/>
                <w:iCs/>
                <w:color w:val="FFFFFF" w:themeColor="background1"/>
                <w:lang w:eastAsia="en-GB"/>
              </w:rPr>
              <w:t> </w:t>
            </w:r>
          </w:p>
        </w:tc>
        <w:tc>
          <w:tcPr>
            <w:tcW w:w="2127"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West Wittering</w:t>
            </w:r>
          </w:p>
        </w:tc>
        <w:tc>
          <w:tcPr>
            <w:tcW w:w="2835"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West Wittering</w:t>
            </w:r>
          </w:p>
        </w:tc>
        <w:tc>
          <w:tcPr>
            <w:tcW w:w="2409" w:type="dxa"/>
            <w:tcBorders>
              <w:top w:val="nil"/>
              <w:left w:val="nil"/>
              <w:bottom w:val="single" w:sz="4" w:space="0" w:color="auto"/>
              <w:right w:val="single" w:sz="4" w:space="0" w:color="auto"/>
            </w:tcBorders>
            <w:shd w:val="clear" w:color="auto" w:fill="000000" w:themeFill="text1"/>
            <w:noWrap/>
            <w:vAlign w:val="bottom"/>
            <w:hideMark/>
          </w:tcPr>
          <w:p w:rsidR="004B4774" w:rsidRPr="003471D1" w:rsidRDefault="004B4774" w:rsidP="009A5A02">
            <w:pPr>
              <w:spacing w:line="240" w:lineRule="auto"/>
              <w:rPr>
                <w:rFonts w:ascii="Arial" w:eastAsia="Times New Roman" w:hAnsi="Arial" w:cs="Arial"/>
                <w:iCs/>
                <w:color w:val="FFFFFF" w:themeColor="background1"/>
                <w:lang w:eastAsia="en-GB"/>
              </w:rPr>
            </w:pPr>
            <w:r>
              <w:rPr>
                <w:rFonts w:ascii="Arial" w:eastAsia="Times New Roman" w:hAnsi="Arial" w:cs="Arial"/>
                <w:iCs/>
                <w:color w:val="FFFFFF" w:themeColor="background1"/>
                <w:lang w:eastAsia="en-GB"/>
              </w:rPr>
              <w:t>Chichester</w:t>
            </w:r>
          </w:p>
        </w:tc>
      </w:tr>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sidRPr="003471D1">
              <w:rPr>
                <w:rFonts w:ascii="Arial" w:eastAsia="Times New Roman" w:hAnsi="Arial" w:cs="Arial"/>
                <w:color w:val="000000"/>
                <w:lang w:eastAsia="en-GB"/>
              </w:rPr>
              <w:t>Detached</w:t>
            </w:r>
          </w:p>
        </w:tc>
        <w:tc>
          <w:tcPr>
            <w:tcW w:w="2127"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64%</w:t>
            </w:r>
          </w:p>
        </w:tc>
        <w:tc>
          <w:tcPr>
            <w:tcW w:w="283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63%</w:t>
            </w:r>
          </w:p>
        </w:tc>
        <w:tc>
          <w:tcPr>
            <w:tcW w:w="2409"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37%</w:t>
            </w:r>
          </w:p>
        </w:tc>
      </w:tr>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sidRPr="003471D1">
              <w:rPr>
                <w:rFonts w:ascii="Arial" w:eastAsia="Times New Roman" w:hAnsi="Arial" w:cs="Arial"/>
                <w:color w:val="000000"/>
                <w:lang w:eastAsia="en-GB"/>
              </w:rPr>
              <w:t>Semi-Detached</w:t>
            </w:r>
          </w:p>
        </w:tc>
        <w:tc>
          <w:tcPr>
            <w:tcW w:w="2127"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23%</w:t>
            </w:r>
          </w:p>
        </w:tc>
        <w:tc>
          <w:tcPr>
            <w:tcW w:w="283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20%</w:t>
            </w:r>
          </w:p>
        </w:tc>
        <w:tc>
          <w:tcPr>
            <w:tcW w:w="2409"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27%</w:t>
            </w:r>
          </w:p>
        </w:tc>
      </w:tr>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sidRPr="003471D1">
              <w:rPr>
                <w:rFonts w:ascii="Arial" w:eastAsia="Times New Roman" w:hAnsi="Arial" w:cs="Arial"/>
                <w:color w:val="000000"/>
                <w:lang w:eastAsia="en-GB"/>
              </w:rPr>
              <w:t>Terraced</w:t>
            </w:r>
          </w:p>
        </w:tc>
        <w:tc>
          <w:tcPr>
            <w:tcW w:w="2127"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5%</w:t>
            </w:r>
          </w:p>
        </w:tc>
        <w:tc>
          <w:tcPr>
            <w:tcW w:w="283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8%</w:t>
            </w:r>
          </w:p>
        </w:tc>
        <w:tc>
          <w:tcPr>
            <w:tcW w:w="2409"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18%</w:t>
            </w:r>
          </w:p>
        </w:tc>
      </w:tr>
      <w:tr w:rsidR="004B4774" w:rsidRPr="003471D1" w:rsidTr="009A5A02">
        <w:trPr>
          <w:trHeight w:val="288"/>
        </w:trPr>
        <w:tc>
          <w:tcPr>
            <w:tcW w:w="1716" w:type="dxa"/>
            <w:tcBorders>
              <w:top w:val="nil"/>
              <w:left w:val="single" w:sz="4" w:space="0" w:color="auto"/>
              <w:bottom w:val="single" w:sz="4" w:space="0" w:color="auto"/>
              <w:right w:val="single" w:sz="4" w:space="0" w:color="auto"/>
            </w:tcBorders>
            <w:shd w:val="clear" w:color="000000" w:fill="BFBFBF"/>
            <w:noWrap/>
            <w:vAlign w:val="bottom"/>
            <w:hideMark/>
          </w:tcPr>
          <w:p w:rsidR="004B4774" w:rsidRPr="003471D1" w:rsidRDefault="004B4774" w:rsidP="009A5A02">
            <w:pPr>
              <w:spacing w:line="240" w:lineRule="auto"/>
              <w:rPr>
                <w:rFonts w:ascii="Arial" w:eastAsia="Times New Roman" w:hAnsi="Arial" w:cs="Arial"/>
                <w:color w:val="000000"/>
                <w:lang w:eastAsia="en-GB"/>
              </w:rPr>
            </w:pPr>
            <w:r w:rsidRPr="003471D1">
              <w:rPr>
                <w:rFonts w:ascii="Arial" w:eastAsia="Times New Roman" w:hAnsi="Arial" w:cs="Arial"/>
                <w:color w:val="000000"/>
                <w:lang w:eastAsia="en-GB"/>
              </w:rPr>
              <w:t>Flats</w:t>
            </w:r>
          </w:p>
        </w:tc>
        <w:tc>
          <w:tcPr>
            <w:tcW w:w="2127"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8%</w:t>
            </w:r>
          </w:p>
        </w:tc>
        <w:tc>
          <w:tcPr>
            <w:tcW w:w="2835"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8%</w:t>
            </w:r>
          </w:p>
        </w:tc>
        <w:tc>
          <w:tcPr>
            <w:tcW w:w="2409" w:type="dxa"/>
            <w:tcBorders>
              <w:top w:val="nil"/>
              <w:left w:val="nil"/>
              <w:bottom w:val="single" w:sz="4" w:space="0" w:color="auto"/>
              <w:right w:val="single" w:sz="4" w:space="0" w:color="auto"/>
            </w:tcBorders>
            <w:shd w:val="clear" w:color="auto" w:fill="auto"/>
            <w:noWrap/>
            <w:vAlign w:val="bottom"/>
            <w:hideMark/>
          </w:tcPr>
          <w:p w:rsidR="004B4774" w:rsidRPr="00FC77CF" w:rsidRDefault="004B4774" w:rsidP="009A5A02">
            <w:pPr>
              <w:spacing w:line="240" w:lineRule="auto"/>
              <w:jc w:val="right"/>
              <w:rPr>
                <w:rFonts w:eastAsia="Times New Roman" w:cstheme="minorHAnsi"/>
                <w:color w:val="000000"/>
                <w:lang w:eastAsia="en-GB"/>
              </w:rPr>
            </w:pPr>
            <w:r w:rsidRPr="00FC77CF">
              <w:rPr>
                <w:rFonts w:cstheme="minorHAnsi"/>
                <w:color w:val="000000"/>
              </w:rPr>
              <w:t>16%</w:t>
            </w:r>
          </w:p>
        </w:tc>
      </w:tr>
    </w:tbl>
    <w:p w:rsidR="004B4774" w:rsidRPr="00FF08C3" w:rsidRDefault="004B4774" w:rsidP="004B4774">
      <w:pPr>
        <w:pStyle w:val="Source"/>
      </w:pPr>
      <w:r w:rsidRPr="00FF08C3">
        <w:t>Source: Census 2001/2011, Land Registry PPD, AECOM Calculations</w:t>
      </w:r>
    </w:p>
    <w:p w:rsidR="004B4774" w:rsidRDefault="004B4774" w:rsidP="004B4774">
      <w:pPr>
        <w:pStyle w:val="Heading2"/>
        <w:rPr>
          <w:lang w:val="en-US"/>
        </w:rPr>
      </w:pPr>
      <w:bookmarkStart w:id="179" w:name="_Toc495920033"/>
      <w:bookmarkStart w:id="180" w:name="_Toc504464751"/>
      <w:r>
        <w:rPr>
          <w:lang w:val="en-US"/>
        </w:rPr>
        <w:t>Migration</w:t>
      </w:r>
      <w:bookmarkEnd w:id="179"/>
      <w:bookmarkEnd w:id="180"/>
    </w:p>
    <w:p w:rsidR="004B4774" w:rsidRPr="009E7AAC" w:rsidRDefault="004B4774" w:rsidP="004B4774">
      <w:pPr>
        <w:pStyle w:val="ListNumber"/>
        <w:rPr>
          <w:lang w:val="en-US"/>
        </w:rPr>
      </w:pPr>
      <w:r>
        <w:fldChar w:fldCharType="begin"/>
      </w:r>
      <w:r>
        <w:instrText xml:space="preserve"> REF _Ref495660815 \h </w:instrText>
      </w:r>
      <w:r>
        <w:fldChar w:fldCharType="separate"/>
      </w:r>
      <w:r w:rsidR="00A258B5">
        <w:t xml:space="preserve">Table </w:t>
      </w:r>
      <w:r w:rsidR="00A258B5">
        <w:rPr>
          <w:noProof/>
        </w:rPr>
        <w:t>25</w:t>
      </w:r>
      <w:r>
        <w:fldChar w:fldCharType="end"/>
      </w:r>
      <w:r>
        <w:t xml:space="preserve"> demonstrates that </w:t>
      </w:r>
      <w:r>
        <w:rPr>
          <w:lang w:val="en-US"/>
        </w:rPr>
        <w:t xml:space="preserve">West </w:t>
      </w:r>
      <w:proofErr w:type="spellStart"/>
      <w:r>
        <w:rPr>
          <w:lang w:val="en-US"/>
        </w:rPr>
        <w:t>Wittering</w:t>
      </w:r>
      <w:proofErr w:type="spellEnd"/>
      <w:r>
        <w:rPr>
          <w:lang w:val="en-US"/>
        </w:rPr>
        <w:t xml:space="preserve"> has experienced population decrease of 3% between 2001 and 2011 while </w:t>
      </w:r>
      <w:proofErr w:type="spellStart"/>
      <w:r>
        <w:rPr>
          <w:lang w:val="en-US"/>
        </w:rPr>
        <w:t>Chichester</w:t>
      </w:r>
      <w:proofErr w:type="spellEnd"/>
      <w:r>
        <w:rPr>
          <w:lang w:val="en-US"/>
        </w:rPr>
        <w:t xml:space="preserve"> </w:t>
      </w:r>
      <w:r>
        <w:t xml:space="preserve">population increased by 7% over the same period. This would suggest a low housing demand in the NPA. Moreover, as shown in </w:t>
      </w:r>
      <w:r>
        <w:fldChar w:fldCharType="begin"/>
      </w:r>
      <w:r>
        <w:instrText xml:space="preserve"> REF _Ref495661808 \h </w:instrText>
      </w:r>
      <w:r>
        <w:fldChar w:fldCharType="separate"/>
      </w:r>
      <w:r w:rsidR="00A258B5">
        <w:t xml:space="preserve">Table </w:t>
      </w:r>
      <w:r w:rsidR="00A258B5">
        <w:rPr>
          <w:noProof/>
        </w:rPr>
        <w:t>26</w:t>
      </w:r>
      <w:r>
        <w:fldChar w:fldCharType="end"/>
      </w:r>
      <w:r>
        <w:t xml:space="preserve">, the percentage of people born outside of the UK is very low in West Wittering (6.1%). This is less than the figure for Chichester as a whole, approximately 8%, and, of those born outside of the UK, </w:t>
      </w:r>
      <w:r>
        <w:rPr>
          <w:rFonts w:ascii="Arial" w:hAnsi="Arial" w:cs="Arial"/>
          <w:color w:val="000000"/>
        </w:rPr>
        <w:t xml:space="preserve">78% </w:t>
      </w:r>
      <w:r>
        <w:t xml:space="preserve">have been living in </w:t>
      </w:r>
      <w:r>
        <w:rPr>
          <w:lang w:val="en-US"/>
        </w:rPr>
        <w:t xml:space="preserve">West </w:t>
      </w:r>
      <w:proofErr w:type="spellStart"/>
      <w:r>
        <w:rPr>
          <w:lang w:val="en-US"/>
        </w:rPr>
        <w:t>Wittering</w:t>
      </w:r>
      <w:proofErr w:type="spellEnd"/>
      <w:r>
        <w:rPr>
          <w:lang w:val="en-US"/>
        </w:rPr>
        <w:t xml:space="preserve"> </w:t>
      </w:r>
      <w:r>
        <w:t>for more than 10 years.</w:t>
      </w:r>
      <w:r w:rsidRPr="006521F7">
        <w:t xml:space="preserve"> </w:t>
      </w:r>
      <w:r>
        <w:t>Therefore, migration is not seen as a significant driver of increased housing demand in West Wittering.</w:t>
      </w:r>
    </w:p>
    <w:p w:rsidR="004B4774" w:rsidRDefault="004B4774" w:rsidP="004B4774">
      <w:pPr>
        <w:pStyle w:val="Caption"/>
      </w:pPr>
      <w:bookmarkStart w:id="181" w:name="_Ref495660815"/>
      <w:bookmarkStart w:id="182" w:name="_Toc488669621"/>
      <w:bookmarkStart w:id="183" w:name="_Toc495920055"/>
      <w:r>
        <w:lastRenderedPageBreak/>
        <w:t xml:space="preserve">Table </w:t>
      </w:r>
      <w:fldSimple w:instr=" SEQ Table \* ARABIC ">
        <w:r w:rsidR="00B25544">
          <w:rPr>
            <w:noProof/>
          </w:rPr>
          <w:t>25</w:t>
        </w:r>
      </w:fldSimple>
      <w:bookmarkEnd w:id="181"/>
      <w:r>
        <w:t xml:space="preserve">: Population by </w:t>
      </w:r>
      <w:r w:rsidR="001157B7">
        <w:t>a</w:t>
      </w:r>
      <w:r>
        <w:t xml:space="preserve">ge </w:t>
      </w:r>
      <w:r w:rsidR="001157B7">
        <w:t>g</w:t>
      </w:r>
      <w:r>
        <w:t xml:space="preserve">roup, 2001, </w:t>
      </w:r>
      <w:proofErr w:type="gramStart"/>
      <w:r>
        <w:t>2011</w:t>
      </w:r>
      <w:bookmarkEnd w:id="182"/>
      <w:bookmarkEnd w:id="183"/>
      <w:proofErr w:type="gramEnd"/>
    </w:p>
    <w:tbl>
      <w:tblPr>
        <w:tblW w:w="9077" w:type="dxa"/>
        <w:tblInd w:w="103" w:type="dxa"/>
        <w:tblLook w:val="04A0" w:firstRow="1" w:lastRow="0" w:firstColumn="1" w:lastColumn="0" w:noHBand="0" w:noVBand="1"/>
      </w:tblPr>
      <w:tblGrid>
        <w:gridCol w:w="1848"/>
        <w:gridCol w:w="1985"/>
        <w:gridCol w:w="1701"/>
        <w:gridCol w:w="1701"/>
        <w:gridCol w:w="1842"/>
      </w:tblGrid>
      <w:tr w:rsidR="004B4774" w:rsidRPr="00117252" w:rsidTr="009A5A02">
        <w:trPr>
          <w:trHeight w:val="300"/>
        </w:trPr>
        <w:tc>
          <w:tcPr>
            <w:tcW w:w="1848"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 </w:t>
            </w:r>
          </w:p>
        </w:tc>
        <w:tc>
          <w:tcPr>
            <w:tcW w:w="1985"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2001</w:t>
            </w:r>
          </w:p>
        </w:tc>
        <w:tc>
          <w:tcPr>
            <w:tcW w:w="1701"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2001</w:t>
            </w:r>
          </w:p>
        </w:tc>
        <w:tc>
          <w:tcPr>
            <w:tcW w:w="1701"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2011</w:t>
            </w:r>
          </w:p>
        </w:tc>
        <w:tc>
          <w:tcPr>
            <w:tcW w:w="1842"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2011</w:t>
            </w:r>
          </w:p>
        </w:tc>
      </w:tr>
      <w:tr w:rsidR="004B4774" w:rsidRPr="00117252" w:rsidTr="009A5A02">
        <w:trPr>
          <w:trHeight w:val="300"/>
        </w:trPr>
        <w:tc>
          <w:tcPr>
            <w:tcW w:w="1848" w:type="dxa"/>
            <w:tcBorders>
              <w:top w:val="nil"/>
              <w:left w:val="single" w:sz="4" w:space="0" w:color="auto"/>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Age group</w:t>
            </w:r>
          </w:p>
        </w:tc>
        <w:tc>
          <w:tcPr>
            <w:tcW w:w="1985" w:type="dxa"/>
            <w:tcBorders>
              <w:top w:val="nil"/>
              <w:left w:val="nil"/>
              <w:bottom w:val="single" w:sz="4" w:space="0" w:color="auto"/>
              <w:right w:val="single" w:sz="4" w:space="0" w:color="auto"/>
            </w:tcBorders>
            <w:shd w:val="clear" w:color="auto" w:fill="000000" w:themeFill="text1"/>
            <w:noWrap/>
            <w:vAlign w:val="bottom"/>
            <w:hideMark/>
          </w:tcPr>
          <w:p w:rsidR="004B4774" w:rsidRPr="00D01CAE"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D01CAE">
              <w:rPr>
                <w:rFonts w:ascii="Calibri" w:hAnsi="Calibri"/>
                <w:b/>
                <w:bCs/>
                <w:color w:val="FFFFFF" w:themeColor="background1"/>
                <w:sz w:val="22"/>
                <w:szCs w:val="22"/>
              </w:rPr>
              <w:t>West Wittering</w:t>
            </w:r>
          </w:p>
        </w:tc>
        <w:tc>
          <w:tcPr>
            <w:tcW w:w="1701" w:type="dxa"/>
            <w:tcBorders>
              <w:top w:val="nil"/>
              <w:left w:val="nil"/>
              <w:bottom w:val="single" w:sz="4" w:space="0" w:color="auto"/>
              <w:right w:val="single" w:sz="4" w:space="0" w:color="auto"/>
            </w:tcBorders>
            <w:shd w:val="clear" w:color="auto" w:fill="000000" w:themeFill="text1"/>
            <w:noWrap/>
            <w:vAlign w:val="bottom"/>
            <w:hideMark/>
          </w:tcPr>
          <w:p w:rsidR="004B4774" w:rsidRPr="00D01CAE"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D01CAE">
              <w:rPr>
                <w:rFonts w:ascii="Calibri" w:hAnsi="Calibri"/>
                <w:b/>
                <w:bCs/>
                <w:color w:val="FFFFFF" w:themeColor="background1"/>
                <w:sz w:val="22"/>
                <w:szCs w:val="22"/>
              </w:rPr>
              <w:t>Chichester</w:t>
            </w:r>
          </w:p>
        </w:tc>
        <w:tc>
          <w:tcPr>
            <w:tcW w:w="1701" w:type="dxa"/>
            <w:tcBorders>
              <w:top w:val="nil"/>
              <w:left w:val="nil"/>
              <w:bottom w:val="single" w:sz="4" w:space="0" w:color="auto"/>
              <w:right w:val="single" w:sz="4" w:space="0" w:color="auto"/>
            </w:tcBorders>
            <w:shd w:val="clear" w:color="auto" w:fill="000000" w:themeFill="text1"/>
            <w:noWrap/>
            <w:vAlign w:val="bottom"/>
            <w:hideMark/>
          </w:tcPr>
          <w:p w:rsidR="004B4774" w:rsidRPr="00D01CAE"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D01CAE">
              <w:rPr>
                <w:rFonts w:ascii="Calibri" w:hAnsi="Calibri"/>
                <w:b/>
                <w:bCs/>
                <w:color w:val="FFFFFF" w:themeColor="background1"/>
                <w:sz w:val="22"/>
                <w:szCs w:val="22"/>
              </w:rPr>
              <w:t>West Wittering</w:t>
            </w:r>
          </w:p>
        </w:tc>
        <w:tc>
          <w:tcPr>
            <w:tcW w:w="1842" w:type="dxa"/>
            <w:tcBorders>
              <w:top w:val="nil"/>
              <w:left w:val="nil"/>
              <w:bottom w:val="single" w:sz="4" w:space="0" w:color="auto"/>
              <w:right w:val="single" w:sz="4" w:space="0" w:color="auto"/>
            </w:tcBorders>
            <w:shd w:val="clear" w:color="auto" w:fill="000000" w:themeFill="text1"/>
            <w:noWrap/>
            <w:vAlign w:val="bottom"/>
            <w:hideMark/>
          </w:tcPr>
          <w:p w:rsidR="004B4774" w:rsidRPr="00D01CAE" w:rsidRDefault="004B4774" w:rsidP="009A5A02">
            <w:pPr>
              <w:spacing w:line="240" w:lineRule="auto"/>
              <w:jc w:val="center"/>
              <w:rPr>
                <w:rFonts w:asciiTheme="majorHAnsi" w:eastAsia="Times New Roman" w:hAnsiTheme="majorHAnsi" w:cstheme="majorHAnsi"/>
                <w:b/>
                <w:bCs/>
                <w:color w:val="FFFFFF" w:themeColor="background1"/>
                <w:lang w:eastAsia="en-GB"/>
              </w:rPr>
            </w:pPr>
            <w:r w:rsidRPr="00D01CAE">
              <w:rPr>
                <w:rFonts w:ascii="Calibri" w:hAnsi="Calibri"/>
                <w:b/>
                <w:bCs/>
                <w:color w:val="FFFFFF" w:themeColor="background1"/>
                <w:sz w:val="22"/>
                <w:szCs w:val="22"/>
              </w:rPr>
              <w:t>Chichester</w:t>
            </w:r>
          </w:p>
        </w:tc>
      </w:tr>
      <w:tr w:rsidR="004B4774" w:rsidRPr="00117252" w:rsidTr="009A5A02">
        <w:trPr>
          <w:trHeight w:val="300"/>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0-15</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309</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18,900</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293</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18,633</w:t>
            </w:r>
          </w:p>
        </w:tc>
      </w:tr>
      <w:tr w:rsidR="004B4774" w:rsidRPr="00117252" w:rsidTr="009A5A02">
        <w:trPr>
          <w:trHeight w:val="300"/>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16-24</w:t>
            </w:r>
          </w:p>
        </w:tc>
        <w:tc>
          <w:tcPr>
            <w:tcW w:w="1985" w:type="dxa"/>
            <w:tcBorders>
              <w:top w:val="nil"/>
              <w:left w:val="nil"/>
              <w:bottom w:val="single" w:sz="4" w:space="0" w:color="auto"/>
              <w:right w:val="single" w:sz="4" w:space="0" w:color="auto"/>
            </w:tcBorders>
            <w:shd w:val="clear" w:color="auto" w:fill="auto"/>
            <w:noWrap/>
            <w:vAlign w:val="center"/>
            <w:hideMark/>
          </w:tcPr>
          <w:p w:rsidR="004B4774" w:rsidRPr="00D01CAE" w:rsidRDefault="004B4774" w:rsidP="009A5A02">
            <w:pPr>
              <w:jc w:val="center"/>
              <w:rPr>
                <w:rFonts w:cstheme="minorHAnsi"/>
                <w:color w:val="000000"/>
              </w:rPr>
            </w:pPr>
            <w:r w:rsidRPr="00D01CAE">
              <w:rPr>
                <w:rFonts w:cstheme="minorHAnsi"/>
                <w:color w:val="000000"/>
              </w:rPr>
              <w:t>199</w:t>
            </w:r>
          </w:p>
        </w:tc>
        <w:tc>
          <w:tcPr>
            <w:tcW w:w="1701" w:type="dxa"/>
            <w:tcBorders>
              <w:top w:val="nil"/>
              <w:left w:val="nil"/>
              <w:bottom w:val="single" w:sz="4" w:space="0" w:color="auto"/>
              <w:right w:val="single" w:sz="4" w:space="0" w:color="auto"/>
            </w:tcBorders>
            <w:shd w:val="clear" w:color="auto" w:fill="auto"/>
            <w:noWrap/>
            <w:vAlign w:val="center"/>
            <w:hideMark/>
          </w:tcPr>
          <w:p w:rsidR="004B4774" w:rsidRPr="00D01CAE" w:rsidRDefault="004B4774" w:rsidP="009A5A02">
            <w:pPr>
              <w:jc w:val="center"/>
              <w:rPr>
                <w:rFonts w:cstheme="minorHAnsi"/>
                <w:color w:val="000000"/>
              </w:rPr>
            </w:pPr>
            <w:r w:rsidRPr="00D01CAE">
              <w:rPr>
                <w:rFonts w:cstheme="minorHAnsi"/>
                <w:color w:val="000000"/>
              </w:rPr>
              <w:t>9,900</w:t>
            </w:r>
          </w:p>
        </w:tc>
        <w:tc>
          <w:tcPr>
            <w:tcW w:w="1701" w:type="dxa"/>
            <w:tcBorders>
              <w:top w:val="nil"/>
              <w:left w:val="nil"/>
              <w:bottom w:val="single" w:sz="4" w:space="0" w:color="auto"/>
              <w:right w:val="single" w:sz="4" w:space="0" w:color="auto"/>
            </w:tcBorders>
            <w:shd w:val="clear" w:color="auto" w:fill="auto"/>
            <w:noWrap/>
            <w:vAlign w:val="center"/>
            <w:hideMark/>
          </w:tcPr>
          <w:p w:rsidR="004B4774" w:rsidRPr="00D01CAE" w:rsidRDefault="004B4774" w:rsidP="009A5A02">
            <w:pPr>
              <w:jc w:val="center"/>
              <w:rPr>
                <w:rFonts w:cstheme="minorHAnsi"/>
                <w:color w:val="000000"/>
              </w:rPr>
            </w:pPr>
            <w:r w:rsidRPr="00D01CAE">
              <w:rPr>
                <w:rFonts w:cstheme="minorHAnsi"/>
                <w:color w:val="000000"/>
              </w:rPr>
              <w:t>167</w:t>
            </w:r>
          </w:p>
        </w:tc>
        <w:tc>
          <w:tcPr>
            <w:tcW w:w="1842" w:type="dxa"/>
            <w:tcBorders>
              <w:top w:val="nil"/>
              <w:left w:val="nil"/>
              <w:bottom w:val="single" w:sz="4" w:space="0" w:color="auto"/>
              <w:right w:val="single" w:sz="4" w:space="0" w:color="auto"/>
            </w:tcBorders>
            <w:shd w:val="clear" w:color="auto" w:fill="auto"/>
            <w:noWrap/>
            <w:vAlign w:val="center"/>
            <w:hideMark/>
          </w:tcPr>
          <w:p w:rsidR="004B4774" w:rsidRPr="00D01CAE" w:rsidRDefault="004B4774" w:rsidP="009A5A02">
            <w:pPr>
              <w:jc w:val="center"/>
              <w:rPr>
                <w:rFonts w:cstheme="minorHAnsi"/>
                <w:color w:val="000000"/>
              </w:rPr>
            </w:pPr>
            <w:r w:rsidRPr="00D01CAE">
              <w:rPr>
                <w:rFonts w:cstheme="minorHAnsi"/>
                <w:color w:val="000000"/>
              </w:rPr>
              <w:t>11,458</w:t>
            </w:r>
          </w:p>
        </w:tc>
      </w:tr>
      <w:tr w:rsidR="004B4774" w:rsidRPr="00117252" w:rsidTr="009A5A02">
        <w:trPr>
          <w:trHeight w:val="300"/>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25-44</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407</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24,938</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378</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23,973</w:t>
            </w:r>
          </w:p>
        </w:tc>
      </w:tr>
      <w:tr w:rsidR="004B4774" w:rsidRPr="00117252" w:rsidTr="009A5A02">
        <w:trPr>
          <w:trHeight w:val="300"/>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45-64</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785</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28,201</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726</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31,836</w:t>
            </w:r>
          </w:p>
        </w:tc>
      </w:tr>
      <w:tr w:rsidR="004B4774" w:rsidRPr="00117252" w:rsidTr="009A5A02">
        <w:trPr>
          <w:trHeight w:val="288"/>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65-84</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920</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20,990</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927</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23,602</w:t>
            </w:r>
          </w:p>
        </w:tc>
      </w:tr>
      <w:tr w:rsidR="004B4774" w:rsidRPr="00117252" w:rsidTr="009A5A02">
        <w:trPr>
          <w:trHeight w:val="288"/>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85 and over</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172</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3,521</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209</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D01CAE" w:rsidRDefault="004B4774" w:rsidP="009A5A02">
            <w:pPr>
              <w:jc w:val="center"/>
              <w:rPr>
                <w:rFonts w:cstheme="minorHAnsi"/>
                <w:color w:val="000000"/>
              </w:rPr>
            </w:pPr>
            <w:r w:rsidRPr="00D01CAE">
              <w:rPr>
                <w:rFonts w:cstheme="minorHAnsi"/>
                <w:color w:val="000000"/>
              </w:rPr>
              <w:t>4,292</w:t>
            </w:r>
          </w:p>
        </w:tc>
      </w:tr>
      <w:tr w:rsidR="004B4774" w:rsidRPr="00117252" w:rsidTr="009A5A02">
        <w:trPr>
          <w:trHeight w:val="288"/>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All</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A52425" w:rsidRDefault="004B4774" w:rsidP="009A5A02">
            <w:pPr>
              <w:jc w:val="center"/>
              <w:rPr>
                <w:rFonts w:cstheme="minorHAnsi"/>
              </w:rPr>
            </w:pPr>
            <w:r w:rsidRPr="00A52425">
              <w:rPr>
                <w:rFonts w:cstheme="minorHAnsi"/>
                <w:color w:val="000000"/>
              </w:rPr>
              <w:t>2,792</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A52425" w:rsidRDefault="004B4774" w:rsidP="009A5A02">
            <w:pPr>
              <w:jc w:val="center"/>
              <w:rPr>
                <w:rFonts w:cstheme="minorHAnsi"/>
              </w:rPr>
            </w:pPr>
            <w:r w:rsidRPr="00A52425">
              <w:rPr>
                <w:rFonts w:cstheme="minorHAnsi"/>
                <w:color w:val="000000"/>
              </w:rPr>
              <w:t>106,450</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A52425" w:rsidRDefault="004B4774" w:rsidP="009A5A02">
            <w:pPr>
              <w:jc w:val="center"/>
              <w:rPr>
                <w:rFonts w:cstheme="minorHAnsi"/>
              </w:rPr>
            </w:pPr>
            <w:r w:rsidRPr="00A52425">
              <w:rPr>
                <w:rFonts w:cstheme="minorHAnsi"/>
                <w:color w:val="000000"/>
              </w:rPr>
              <w:t>2,700</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A52425" w:rsidRDefault="004B4774" w:rsidP="009A5A02">
            <w:pPr>
              <w:jc w:val="center"/>
              <w:rPr>
                <w:rFonts w:cstheme="minorHAnsi"/>
              </w:rPr>
            </w:pPr>
            <w:r w:rsidRPr="00A52425">
              <w:rPr>
                <w:rFonts w:cstheme="minorHAnsi"/>
                <w:color w:val="000000"/>
              </w:rPr>
              <w:t>113,794</w:t>
            </w:r>
          </w:p>
        </w:tc>
      </w:tr>
      <w:tr w:rsidR="004B4774" w:rsidRPr="00117252" w:rsidTr="009A5A02">
        <w:trPr>
          <w:trHeight w:val="288"/>
        </w:trPr>
        <w:tc>
          <w:tcPr>
            <w:tcW w:w="18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Percentage Growth</w:t>
            </w:r>
          </w:p>
        </w:tc>
        <w:tc>
          <w:tcPr>
            <w:tcW w:w="1985" w:type="dxa"/>
            <w:tcBorders>
              <w:top w:val="nil"/>
              <w:left w:val="nil"/>
              <w:bottom w:val="single" w:sz="4" w:space="0" w:color="auto"/>
              <w:right w:val="single" w:sz="4" w:space="0" w:color="auto"/>
            </w:tcBorders>
            <w:shd w:val="clear" w:color="auto" w:fill="auto"/>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613ACE" w:rsidRDefault="004B4774" w:rsidP="009A5A02">
            <w:pPr>
              <w:jc w:val="center"/>
              <w:rPr>
                <w:rFonts w:cstheme="minorHAnsi"/>
              </w:rPr>
            </w:pPr>
            <w:r>
              <w:rPr>
                <w:rFonts w:cstheme="minorHAnsi"/>
              </w:rPr>
              <w:t>-3</w:t>
            </w:r>
            <w:r w:rsidRPr="00613ACE">
              <w:rPr>
                <w:rFonts w:cstheme="minorHAnsi"/>
              </w:rPr>
              <w:t>%</w:t>
            </w:r>
          </w:p>
        </w:tc>
        <w:tc>
          <w:tcPr>
            <w:tcW w:w="1842" w:type="dxa"/>
            <w:tcBorders>
              <w:top w:val="nil"/>
              <w:left w:val="nil"/>
              <w:bottom w:val="single" w:sz="4" w:space="0" w:color="auto"/>
              <w:right w:val="single" w:sz="4" w:space="0" w:color="auto"/>
            </w:tcBorders>
            <w:shd w:val="clear" w:color="auto" w:fill="auto"/>
            <w:noWrap/>
            <w:vAlign w:val="bottom"/>
            <w:hideMark/>
          </w:tcPr>
          <w:p w:rsidR="004B4774" w:rsidRPr="00613ACE" w:rsidRDefault="004B4774" w:rsidP="009A5A02">
            <w:pPr>
              <w:jc w:val="center"/>
              <w:rPr>
                <w:rFonts w:cstheme="minorHAnsi"/>
              </w:rPr>
            </w:pPr>
            <w:r w:rsidRPr="00613ACE">
              <w:rPr>
                <w:rFonts w:cstheme="minorHAnsi"/>
              </w:rPr>
              <w:t>7%</w:t>
            </w:r>
          </w:p>
        </w:tc>
      </w:tr>
    </w:tbl>
    <w:p w:rsidR="004B4774" w:rsidRPr="00C174FF" w:rsidRDefault="004B4774" w:rsidP="004B4774">
      <w:pPr>
        <w:pStyle w:val="Source"/>
      </w:pPr>
      <w:r w:rsidRPr="00C174FF">
        <w:t>Source: Cens</w:t>
      </w:r>
      <w:r>
        <w:t xml:space="preserve">us 2001/2011, AECOM </w:t>
      </w:r>
      <w:r w:rsidR="001157B7">
        <w:t>c</w:t>
      </w:r>
      <w:r>
        <w:t>alculations</w:t>
      </w:r>
    </w:p>
    <w:p w:rsidR="004B4774" w:rsidRPr="008D51FF" w:rsidRDefault="004B4774" w:rsidP="004B4774">
      <w:pPr>
        <w:pStyle w:val="Caption"/>
      </w:pPr>
      <w:bookmarkStart w:id="184" w:name="_Ref495661808"/>
      <w:bookmarkStart w:id="185" w:name="_Toc487535557"/>
      <w:bookmarkStart w:id="186" w:name="_Toc488669622"/>
      <w:bookmarkStart w:id="187" w:name="_Toc495920056"/>
      <w:r>
        <w:t xml:space="preserve">Table </w:t>
      </w:r>
      <w:fldSimple w:instr=" SEQ Table \* ARABIC ">
        <w:r w:rsidR="00B25544">
          <w:rPr>
            <w:noProof/>
          </w:rPr>
          <w:t>26</w:t>
        </w:r>
      </w:fldSimple>
      <w:bookmarkEnd w:id="184"/>
      <w:r>
        <w:t xml:space="preserve">: </w:t>
      </w:r>
      <w:r w:rsidRPr="00A544C8">
        <w:t>Country of</w:t>
      </w:r>
      <w:r>
        <w:t xml:space="preserve"> birth and length of residence, 2011</w:t>
      </w:r>
      <w:bookmarkEnd w:id="185"/>
      <w:bookmarkEnd w:id="186"/>
      <w:bookmarkEnd w:id="187"/>
    </w:p>
    <w:tbl>
      <w:tblPr>
        <w:tblStyle w:val="TableGrid"/>
        <w:tblW w:w="9139" w:type="dxa"/>
        <w:tblLook w:val="04A0" w:firstRow="1" w:lastRow="0" w:firstColumn="1" w:lastColumn="0" w:noHBand="0" w:noVBand="1"/>
      </w:tblPr>
      <w:tblGrid>
        <w:gridCol w:w="2761"/>
        <w:gridCol w:w="1382"/>
        <w:gridCol w:w="1532"/>
        <w:gridCol w:w="1734"/>
        <w:gridCol w:w="1730"/>
      </w:tblGrid>
      <w:tr w:rsidR="004B4774" w:rsidRPr="00117252" w:rsidTr="009A5A02">
        <w:trPr>
          <w:cnfStyle w:val="100000000000" w:firstRow="1" w:lastRow="0" w:firstColumn="0" w:lastColumn="0" w:oddVBand="0" w:evenVBand="0" w:oddHBand="0" w:evenHBand="0" w:firstRowFirstColumn="0" w:firstRowLastColumn="0" w:lastRowFirstColumn="0" w:lastRowLastColumn="0"/>
          <w:trHeight w:val="288"/>
        </w:trPr>
        <w:tc>
          <w:tcPr>
            <w:tcW w:w="2761" w:type="dxa"/>
            <w:shd w:val="clear" w:color="auto" w:fill="000000" w:themeFill="text1"/>
            <w:noWrap/>
            <w:hideMark/>
          </w:tcPr>
          <w:p w:rsidR="004B4774" w:rsidRPr="00117252" w:rsidRDefault="004B4774" w:rsidP="009A5A02">
            <w:pPr>
              <w:spacing w:line="240" w:lineRule="auto"/>
              <w:rPr>
                <w:rFonts w:eastAsia="Times New Roman" w:cstheme="majorHAnsi"/>
                <w:b/>
                <w:bCs/>
                <w:color w:val="FFFFFF" w:themeColor="background1"/>
                <w:sz w:val="18"/>
                <w:lang w:eastAsia="en-GB"/>
              </w:rPr>
            </w:pPr>
            <w:r w:rsidRPr="00117252">
              <w:rPr>
                <w:rFonts w:eastAsia="Times New Roman" w:cstheme="majorHAnsi"/>
                <w:b/>
                <w:bCs/>
                <w:color w:val="FFFFFF" w:themeColor="background1"/>
                <w:sz w:val="18"/>
                <w:lang w:eastAsia="en-GB"/>
              </w:rPr>
              <w:t>Place of birth</w:t>
            </w:r>
          </w:p>
        </w:tc>
        <w:tc>
          <w:tcPr>
            <w:tcW w:w="1382" w:type="dxa"/>
            <w:shd w:val="clear" w:color="auto" w:fill="000000" w:themeFill="text1"/>
            <w:noWrap/>
            <w:hideMark/>
          </w:tcPr>
          <w:p w:rsidR="004B4774" w:rsidRPr="00117252" w:rsidRDefault="004B4774" w:rsidP="009A5A02">
            <w:pPr>
              <w:spacing w:line="240" w:lineRule="auto"/>
              <w:rPr>
                <w:rFonts w:eastAsia="Times New Roman" w:cstheme="majorHAnsi"/>
                <w:color w:val="FFFFFF" w:themeColor="background1"/>
                <w:sz w:val="18"/>
                <w:lang w:eastAsia="en-GB"/>
              </w:rPr>
            </w:pPr>
            <w:r w:rsidRPr="00117252">
              <w:rPr>
                <w:rFonts w:eastAsia="Times New Roman" w:cstheme="majorHAnsi"/>
                <w:b/>
                <w:bCs/>
                <w:color w:val="FFFFFF" w:themeColor="background1"/>
                <w:sz w:val="18"/>
                <w:lang w:eastAsia="en-GB"/>
              </w:rPr>
              <w:t>Population breakdown</w:t>
            </w:r>
          </w:p>
        </w:tc>
        <w:tc>
          <w:tcPr>
            <w:tcW w:w="1532" w:type="dxa"/>
            <w:shd w:val="clear" w:color="auto" w:fill="000000" w:themeFill="text1"/>
            <w:noWrap/>
            <w:hideMark/>
          </w:tcPr>
          <w:p w:rsidR="004B4774" w:rsidRPr="00117252" w:rsidRDefault="004B4774" w:rsidP="009A5A02">
            <w:pPr>
              <w:rPr>
                <w:rFonts w:cstheme="majorHAnsi"/>
                <w:b/>
                <w:bCs/>
                <w:color w:val="FFFFFF" w:themeColor="background1"/>
                <w:sz w:val="18"/>
              </w:rPr>
            </w:pPr>
            <w:r>
              <w:rPr>
                <w:rFonts w:cstheme="majorHAnsi"/>
                <w:b/>
                <w:bCs/>
                <w:color w:val="FFFFFF" w:themeColor="background1"/>
                <w:sz w:val="18"/>
              </w:rPr>
              <w:t>West Wittering</w:t>
            </w:r>
          </w:p>
        </w:tc>
        <w:tc>
          <w:tcPr>
            <w:tcW w:w="1734" w:type="dxa"/>
            <w:shd w:val="clear" w:color="auto" w:fill="000000" w:themeFill="text1"/>
            <w:noWrap/>
            <w:hideMark/>
          </w:tcPr>
          <w:p w:rsidR="004B4774" w:rsidRPr="00117252" w:rsidRDefault="004B4774" w:rsidP="009A5A02">
            <w:pPr>
              <w:rPr>
                <w:rFonts w:cstheme="majorHAnsi"/>
                <w:b/>
                <w:bCs/>
                <w:color w:val="FFFFFF" w:themeColor="background1"/>
                <w:sz w:val="18"/>
              </w:rPr>
            </w:pPr>
            <w:r>
              <w:rPr>
                <w:rFonts w:cstheme="majorHAnsi"/>
                <w:b/>
                <w:bCs/>
                <w:color w:val="FFFFFF" w:themeColor="background1"/>
                <w:sz w:val="18"/>
              </w:rPr>
              <w:t>Chichester</w:t>
            </w:r>
          </w:p>
        </w:tc>
        <w:tc>
          <w:tcPr>
            <w:tcW w:w="1730" w:type="dxa"/>
            <w:shd w:val="clear" w:color="auto" w:fill="000000" w:themeFill="text1"/>
            <w:noWrap/>
            <w:hideMark/>
          </w:tcPr>
          <w:p w:rsidR="004B4774" w:rsidRPr="00117252" w:rsidRDefault="004B4774" w:rsidP="009A5A02">
            <w:pPr>
              <w:spacing w:line="240" w:lineRule="auto"/>
              <w:rPr>
                <w:rFonts w:eastAsia="Times New Roman" w:cstheme="majorHAnsi"/>
                <w:color w:val="FFFFFF" w:themeColor="background1"/>
                <w:sz w:val="18"/>
                <w:lang w:eastAsia="en-GB"/>
              </w:rPr>
            </w:pPr>
            <w:r w:rsidRPr="00117252">
              <w:rPr>
                <w:rFonts w:eastAsia="Times New Roman" w:cstheme="majorHAnsi"/>
                <w:b/>
                <w:bCs/>
                <w:color w:val="FFFFFF" w:themeColor="background1"/>
                <w:sz w:val="18"/>
                <w:lang w:eastAsia="en-GB"/>
              </w:rPr>
              <w:t>England</w:t>
            </w:r>
          </w:p>
        </w:tc>
      </w:tr>
      <w:tr w:rsidR="004B4774" w:rsidRPr="00117252" w:rsidTr="009A5A02">
        <w:trPr>
          <w:trHeight w:val="288"/>
        </w:trPr>
        <w:tc>
          <w:tcPr>
            <w:tcW w:w="2761"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b/>
                <w:bCs/>
                <w:color w:val="000000"/>
                <w:sz w:val="18"/>
                <w:lang w:eastAsia="en-GB"/>
              </w:rPr>
            </w:pPr>
            <w:r w:rsidRPr="00117252">
              <w:rPr>
                <w:rFonts w:asciiTheme="majorHAnsi" w:eastAsia="Times New Roman" w:hAnsiTheme="majorHAnsi" w:cstheme="majorHAnsi"/>
                <w:color w:val="000000"/>
                <w:sz w:val="18"/>
                <w:lang w:eastAsia="en-GB"/>
              </w:rPr>
              <w:t>Born in the UK</w:t>
            </w:r>
          </w:p>
        </w:tc>
        <w:tc>
          <w:tcPr>
            <w:tcW w:w="1382"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b/>
                <w:bCs/>
                <w:color w:val="000000"/>
                <w:sz w:val="18"/>
                <w:lang w:eastAsia="en-GB"/>
              </w:rPr>
            </w:pPr>
            <w:r w:rsidRPr="00117252">
              <w:rPr>
                <w:rFonts w:asciiTheme="majorHAnsi" w:eastAsia="Times New Roman" w:hAnsiTheme="majorHAnsi" w:cstheme="majorHAnsi"/>
                <w:color w:val="000000"/>
                <w:sz w:val="18"/>
                <w:lang w:eastAsia="en-GB"/>
              </w:rPr>
              <w:t>Total</w:t>
            </w:r>
          </w:p>
        </w:tc>
        <w:tc>
          <w:tcPr>
            <w:tcW w:w="1532"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93.9%</w:t>
            </w:r>
          </w:p>
        </w:tc>
        <w:tc>
          <w:tcPr>
            <w:tcW w:w="1734"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91.9%</w:t>
            </w:r>
          </w:p>
        </w:tc>
        <w:tc>
          <w:tcPr>
            <w:tcW w:w="1730" w:type="dxa"/>
            <w:noWrap/>
            <w:vAlign w:val="bottom"/>
            <w:hideMark/>
          </w:tcPr>
          <w:p w:rsidR="004B4774" w:rsidRPr="00D65239" w:rsidRDefault="004B4774" w:rsidP="009A5A02">
            <w:pPr>
              <w:spacing w:line="240" w:lineRule="auto"/>
              <w:jc w:val="center"/>
              <w:rPr>
                <w:rFonts w:eastAsia="Times New Roman" w:cstheme="minorHAnsi"/>
                <w:b/>
                <w:bCs/>
                <w:color w:val="000000"/>
                <w:sz w:val="18"/>
                <w:highlight w:val="yellow"/>
                <w:lang w:eastAsia="en-GB"/>
              </w:rPr>
            </w:pPr>
            <w:r w:rsidRPr="00D65239">
              <w:rPr>
                <w:rFonts w:cstheme="minorHAnsi"/>
                <w:color w:val="000000"/>
                <w:sz w:val="18"/>
              </w:rPr>
              <w:t>86.2%</w:t>
            </w:r>
          </w:p>
        </w:tc>
      </w:tr>
      <w:tr w:rsidR="004B4774" w:rsidRPr="00117252" w:rsidTr="009A5A02">
        <w:trPr>
          <w:trHeight w:val="288"/>
        </w:trPr>
        <w:tc>
          <w:tcPr>
            <w:tcW w:w="2761"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Born outside the UK</w:t>
            </w:r>
          </w:p>
        </w:tc>
        <w:tc>
          <w:tcPr>
            <w:tcW w:w="1382"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Total</w:t>
            </w:r>
          </w:p>
        </w:tc>
        <w:tc>
          <w:tcPr>
            <w:tcW w:w="1532"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6.1%</w:t>
            </w:r>
          </w:p>
        </w:tc>
        <w:tc>
          <w:tcPr>
            <w:tcW w:w="1734"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8.1%</w:t>
            </w:r>
          </w:p>
        </w:tc>
        <w:tc>
          <w:tcPr>
            <w:tcW w:w="1730" w:type="dxa"/>
            <w:noWrap/>
            <w:vAlign w:val="bottom"/>
            <w:hideMark/>
          </w:tcPr>
          <w:p w:rsidR="004B4774" w:rsidRPr="00D65239" w:rsidRDefault="004B4774" w:rsidP="009A5A02">
            <w:pPr>
              <w:spacing w:line="240" w:lineRule="auto"/>
              <w:jc w:val="center"/>
              <w:rPr>
                <w:rFonts w:eastAsia="Times New Roman" w:cstheme="minorHAnsi"/>
                <w:color w:val="000000"/>
                <w:sz w:val="18"/>
                <w:highlight w:val="yellow"/>
                <w:lang w:eastAsia="en-GB"/>
              </w:rPr>
            </w:pPr>
            <w:r w:rsidRPr="00D65239">
              <w:rPr>
                <w:rFonts w:cstheme="minorHAnsi"/>
                <w:color w:val="000000"/>
                <w:sz w:val="18"/>
              </w:rPr>
              <w:t>13.8%</w:t>
            </w:r>
          </w:p>
        </w:tc>
      </w:tr>
      <w:tr w:rsidR="004B4774" w:rsidRPr="00117252" w:rsidTr="009A5A02">
        <w:trPr>
          <w:trHeight w:val="288"/>
        </w:trPr>
        <w:tc>
          <w:tcPr>
            <w:tcW w:w="2761"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 </w:t>
            </w:r>
          </w:p>
        </w:tc>
        <w:tc>
          <w:tcPr>
            <w:tcW w:w="1382"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EU</w:t>
            </w:r>
          </w:p>
        </w:tc>
        <w:tc>
          <w:tcPr>
            <w:tcW w:w="1532"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2.7%</w:t>
            </w:r>
          </w:p>
        </w:tc>
        <w:tc>
          <w:tcPr>
            <w:tcW w:w="1734"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3.4%</w:t>
            </w:r>
          </w:p>
        </w:tc>
        <w:tc>
          <w:tcPr>
            <w:tcW w:w="1730" w:type="dxa"/>
            <w:noWrap/>
            <w:vAlign w:val="bottom"/>
            <w:hideMark/>
          </w:tcPr>
          <w:p w:rsidR="004B4774" w:rsidRPr="00D65239" w:rsidRDefault="004B4774" w:rsidP="009A5A02">
            <w:pPr>
              <w:spacing w:line="240" w:lineRule="auto"/>
              <w:jc w:val="center"/>
              <w:rPr>
                <w:rFonts w:eastAsia="Times New Roman" w:cstheme="minorHAnsi"/>
                <w:color w:val="000000"/>
                <w:sz w:val="18"/>
                <w:highlight w:val="yellow"/>
                <w:lang w:eastAsia="en-GB"/>
              </w:rPr>
            </w:pPr>
            <w:r w:rsidRPr="00D65239">
              <w:rPr>
                <w:rFonts w:cstheme="minorHAnsi"/>
                <w:color w:val="000000"/>
                <w:sz w:val="18"/>
              </w:rPr>
              <w:t>3.7%</w:t>
            </w:r>
          </w:p>
        </w:tc>
      </w:tr>
      <w:tr w:rsidR="004B4774" w:rsidRPr="00117252" w:rsidTr="009A5A02">
        <w:trPr>
          <w:trHeight w:val="288"/>
        </w:trPr>
        <w:tc>
          <w:tcPr>
            <w:tcW w:w="2761"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 </w:t>
            </w:r>
          </w:p>
        </w:tc>
        <w:tc>
          <w:tcPr>
            <w:tcW w:w="1382" w:type="dxa"/>
            <w:shd w:val="clear" w:color="auto" w:fill="D9D9D9" w:themeFill="background1" w:themeFillShade="D9"/>
            <w:noWrap/>
            <w:hideMark/>
          </w:tcPr>
          <w:p w:rsidR="004B4774" w:rsidRPr="00117252" w:rsidRDefault="004B4774" w:rsidP="009A5A02">
            <w:pPr>
              <w:spacing w:line="240" w:lineRule="auto"/>
              <w:rPr>
                <w:rFonts w:asciiTheme="majorHAnsi" w:eastAsia="Times New Roman" w:hAnsiTheme="majorHAnsi" w:cstheme="majorHAnsi"/>
                <w:color w:val="000000"/>
                <w:sz w:val="18"/>
                <w:lang w:eastAsia="en-GB"/>
              </w:rPr>
            </w:pPr>
            <w:r w:rsidRPr="00117252">
              <w:rPr>
                <w:rFonts w:asciiTheme="majorHAnsi" w:eastAsia="Times New Roman" w:hAnsiTheme="majorHAnsi" w:cstheme="majorHAnsi"/>
                <w:color w:val="000000"/>
                <w:sz w:val="18"/>
                <w:lang w:eastAsia="en-GB"/>
              </w:rPr>
              <w:t>Other</w:t>
            </w:r>
          </w:p>
        </w:tc>
        <w:tc>
          <w:tcPr>
            <w:tcW w:w="1532"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3.4%</w:t>
            </w:r>
          </w:p>
        </w:tc>
        <w:tc>
          <w:tcPr>
            <w:tcW w:w="1734" w:type="dxa"/>
            <w:noWrap/>
            <w:vAlign w:val="bottom"/>
            <w:hideMark/>
          </w:tcPr>
          <w:p w:rsidR="004B4774" w:rsidRPr="00D65239" w:rsidRDefault="004B4774" w:rsidP="009A5A02">
            <w:pPr>
              <w:jc w:val="center"/>
              <w:rPr>
                <w:rFonts w:cstheme="minorHAnsi"/>
                <w:color w:val="000000"/>
                <w:sz w:val="18"/>
                <w:highlight w:val="yellow"/>
              </w:rPr>
            </w:pPr>
            <w:r w:rsidRPr="00D65239">
              <w:rPr>
                <w:rFonts w:cstheme="minorHAnsi"/>
                <w:color w:val="000000"/>
                <w:sz w:val="18"/>
              </w:rPr>
              <w:t>4.7%</w:t>
            </w:r>
          </w:p>
        </w:tc>
        <w:tc>
          <w:tcPr>
            <w:tcW w:w="1730" w:type="dxa"/>
            <w:noWrap/>
            <w:vAlign w:val="bottom"/>
            <w:hideMark/>
          </w:tcPr>
          <w:p w:rsidR="004B4774" w:rsidRPr="00D65239" w:rsidRDefault="004B4774" w:rsidP="009A5A02">
            <w:pPr>
              <w:spacing w:line="240" w:lineRule="auto"/>
              <w:jc w:val="center"/>
              <w:rPr>
                <w:rFonts w:eastAsia="Times New Roman" w:cstheme="minorHAnsi"/>
                <w:color w:val="000000"/>
                <w:sz w:val="18"/>
                <w:highlight w:val="yellow"/>
                <w:lang w:eastAsia="en-GB"/>
              </w:rPr>
            </w:pPr>
            <w:r w:rsidRPr="00D65239">
              <w:rPr>
                <w:rFonts w:cstheme="minorHAnsi"/>
                <w:color w:val="000000"/>
                <w:sz w:val="18"/>
              </w:rPr>
              <w:t>9.4%</w:t>
            </w:r>
          </w:p>
        </w:tc>
      </w:tr>
    </w:tbl>
    <w:p w:rsidR="004B4774" w:rsidRDefault="004B4774" w:rsidP="004B4774">
      <w:pPr>
        <w:pStyle w:val="Source"/>
      </w:pPr>
      <w:r w:rsidRPr="00C174FF">
        <w:t xml:space="preserve">Source: Census 2001/2011, AECOM </w:t>
      </w:r>
      <w:r w:rsidR="001157B7">
        <w:t>c</w:t>
      </w:r>
      <w:r w:rsidRPr="00C174FF">
        <w:t>alculations</w:t>
      </w:r>
    </w:p>
    <w:p w:rsidR="004B4774" w:rsidRDefault="004B4774" w:rsidP="004B4774">
      <w:pPr>
        <w:pStyle w:val="Caption"/>
      </w:pPr>
      <w:bookmarkStart w:id="188" w:name="_Toc488669623"/>
      <w:bookmarkStart w:id="189" w:name="_Toc495920057"/>
      <w:r>
        <w:t xml:space="preserve">Table </w:t>
      </w:r>
      <w:fldSimple w:instr=" SEQ Table \* ARABIC ">
        <w:r w:rsidR="00B25544">
          <w:rPr>
            <w:noProof/>
          </w:rPr>
          <w:t>27</w:t>
        </w:r>
      </w:fldSimple>
      <w:r>
        <w:t xml:space="preserve">: </w:t>
      </w:r>
      <w:r w:rsidRPr="00DE13EE">
        <w:t xml:space="preserve">Length of residence of those born outside of the </w:t>
      </w:r>
      <w:bookmarkEnd w:id="188"/>
      <w:bookmarkEnd w:id="189"/>
      <w:r w:rsidR="001157B7">
        <w:t>UK</w:t>
      </w:r>
    </w:p>
    <w:tbl>
      <w:tblPr>
        <w:tblStyle w:val="TableGrid"/>
        <w:tblW w:w="9120" w:type="dxa"/>
        <w:tblLook w:val="04A0" w:firstRow="1" w:lastRow="0" w:firstColumn="1" w:lastColumn="0" w:noHBand="0" w:noVBand="1"/>
      </w:tblPr>
      <w:tblGrid>
        <w:gridCol w:w="3176"/>
        <w:gridCol w:w="2786"/>
        <w:gridCol w:w="3158"/>
      </w:tblGrid>
      <w:tr w:rsidR="004B4774" w:rsidRPr="00117252" w:rsidTr="009A5A02">
        <w:trPr>
          <w:cnfStyle w:val="100000000000" w:firstRow="1" w:lastRow="0" w:firstColumn="0" w:lastColumn="0" w:oddVBand="0" w:evenVBand="0" w:oddHBand="0" w:evenHBand="0" w:firstRowFirstColumn="0" w:firstRowLastColumn="0" w:lastRowFirstColumn="0" w:lastRowLastColumn="0"/>
          <w:trHeight w:val="134"/>
        </w:trPr>
        <w:tc>
          <w:tcPr>
            <w:tcW w:w="3176" w:type="dxa"/>
            <w:shd w:val="clear" w:color="auto" w:fill="000000" w:themeFill="text1"/>
            <w:noWrap/>
          </w:tcPr>
          <w:p w:rsidR="004B4774" w:rsidRPr="00117252" w:rsidRDefault="004B4774" w:rsidP="009A5A02">
            <w:pPr>
              <w:spacing w:line="240" w:lineRule="auto"/>
              <w:rPr>
                <w:rFonts w:eastAsia="Times New Roman" w:cstheme="majorHAnsi"/>
                <w:b/>
                <w:bCs/>
                <w:color w:val="FFFFFF" w:themeColor="background1"/>
                <w:sz w:val="18"/>
                <w:lang w:eastAsia="en-GB"/>
              </w:rPr>
            </w:pPr>
            <w:r w:rsidRPr="00117252">
              <w:rPr>
                <w:rFonts w:eastAsia="Times New Roman" w:cstheme="majorHAnsi"/>
                <w:b/>
                <w:bCs/>
                <w:color w:val="FFFFFF" w:themeColor="background1"/>
                <w:sz w:val="18"/>
                <w:lang w:eastAsia="en-GB"/>
              </w:rPr>
              <w:t>Length of residence in the UK</w:t>
            </w:r>
          </w:p>
        </w:tc>
        <w:tc>
          <w:tcPr>
            <w:tcW w:w="2786" w:type="dxa"/>
            <w:shd w:val="clear" w:color="auto" w:fill="000000" w:themeFill="text1"/>
            <w:noWrap/>
          </w:tcPr>
          <w:p w:rsidR="004B4774" w:rsidRPr="00117252" w:rsidRDefault="004B4774" w:rsidP="009A5A02">
            <w:pPr>
              <w:rPr>
                <w:rFonts w:cstheme="majorHAnsi"/>
                <w:b/>
                <w:bCs/>
                <w:color w:val="FFFFFF" w:themeColor="background1"/>
                <w:sz w:val="18"/>
              </w:rPr>
            </w:pPr>
            <w:r>
              <w:rPr>
                <w:rFonts w:cstheme="majorHAnsi"/>
                <w:b/>
                <w:bCs/>
                <w:color w:val="FFFFFF" w:themeColor="background1"/>
                <w:sz w:val="18"/>
              </w:rPr>
              <w:t>West Wittering</w:t>
            </w:r>
          </w:p>
        </w:tc>
        <w:tc>
          <w:tcPr>
            <w:tcW w:w="3158" w:type="dxa"/>
            <w:shd w:val="clear" w:color="auto" w:fill="000000" w:themeFill="text1"/>
            <w:noWrap/>
          </w:tcPr>
          <w:p w:rsidR="004B4774" w:rsidRPr="00117252" w:rsidRDefault="004B4774" w:rsidP="009A5A02">
            <w:pPr>
              <w:rPr>
                <w:rFonts w:cstheme="majorHAnsi"/>
                <w:b/>
                <w:bCs/>
                <w:color w:val="FFFFFF" w:themeColor="background1"/>
                <w:sz w:val="18"/>
              </w:rPr>
            </w:pPr>
            <w:r>
              <w:rPr>
                <w:rFonts w:cstheme="majorHAnsi"/>
                <w:b/>
                <w:bCs/>
                <w:color w:val="FFFFFF" w:themeColor="background1"/>
                <w:sz w:val="18"/>
              </w:rPr>
              <w:t>Chichester</w:t>
            </w:r>
          </w:p>
        </w:tc>
      </w:tr>
      <w:tr w:rsidR="004B4774" w:rsidRPr="00117252" w:rsidTr="00B25544">
        <w:trPr>
          <w:trHeight w:val="134"/>
        </w:trPr>
        <w:tc>
          <w:tcPr>
            <w:tcW w:w="3176" w:type="dxa"/>
            <w:shd w:val="clear" w:color="auto" w:fill="D9D9D9" w:themeFill="background1" w:themeFillShade="D9"/>
            <w:noWrap/>
            <w:vAlign w:val="bottom"/>
          </w:tcPr>
          <w:p w:rsidR="004B4774" w:rsidRPr="00117252" w:rsidRDefault="004B4774" w:rsidP="009A5A02">
            <w:pPr>
              <w:rPr>
                <w:rFonts w:asciiTheme="majorHAnsi" w:hAnsiTheme="majorHAnsi" w:cstheme="majorHAnsi"/>
                <w:color w:val="000000"/>
                <w:sz w:val="18"/>
              </w:rPr>
            </w:pPr>
            <w:r w:rsidRPr="00117252">
              <w:rPr>
                <w:rFonts w:asciiTheme="majorHAnsi" w:hAnsiTheme="majorHAnsi" w:cstheme="majorHAnsi"/>
                <w:color w:val="000000"/>
                <w:sz w:val="18"/>
              </w:rPr>
              <w:t>Less than 2 years</w:t>
            </w:r>
          </w:p>
        </w:tc>
        <w:tc>
          <w:tcPr>
            <w:tcW w:w="2786"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8%</w:t>
            </w:r>
          </w:p>
        </w:tc>
        <w:tc>
          <w:tcPr>
            <w:tcW w:w="3158"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11%</w:t>
            </w:r>
          </w:p>
        </w:tc>
      </w:tr>
      <w:tr w:rsidR="004B4774" w:rsidRPr="00117252" w:rsidTr="00B25544">
        <w:trPr>
          <w:trHeight w:val="148"/>
        </w:trPr>
        <w:tc>
          <w:tcPr>
            <w:tcW w:w="3176" w:type="dxa"/>
            <w:shd w:val="clear" w:color="auto" w:fill="D9D9D9" w:themeFill="background1" w:themeFillShade="D9"/>
            <w:noWrap/>
            <w:vAlign w:val="bottom"/>
          </w:tcPr>
          <w:p w:rsidR="004B4774" w:rsidRPr="00117252" w:rsidRDefault="004B4774" w:rsidP="009A5A02">
            <w:pPr>
              <w:rPr>
                <w:rFonts w:asciiTheme="majorHAnsi" w:hAnsiTheme="majorHAnsi" w:cstheme="majorHAnsi"/>
                <w:color w:val="000000"/>
                <w:sz w:val="18"/>
              </w:rPr>
            </w:pPr>
            <w:r w:rsidRPr="00117252">
              <w:rPr>
                <w:rFonts w:asciiTheme="majorHAnsi" w:hAnsiTheme="majorHAnsi" w:cstheme="majorHAnsi"/>
                <w:color w:val="000000"/>
                <w:sz w:val="18"/>
              </w:rPr>
              <w:t>2-5 years</w:t>
            </w:r>
          </w:p>
        </w:tc>
        <w:tc>
          <w:tcPr>
            <w:tcW w:w="2786"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10%</w:t>
            </w:r>
          </w:p>
        </w:tc>
        <w:tc>
          <w:tcPr>
            <w:tcW w:w="3158"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13%</w:t>
            </w:r>
          </w:p>
        </w:tc>
      </w:tr>
      <w:tr w:rsidR="004B4774" w:rsidRPr="00117252" w:rsidTr="00B25544">
        <w:trPr>
          <w:trHeight w:val="289"/>
        </w:trPr>
        <w:tc>
          <w:tcPr>
            <w:tcW w:w="3176" w:type="dxa"/>
            <w:shd w:val="clear" w:color="auto" w:fill="D9D9D9" w:themeFill="background1" w:themeFillShade="D9"/>
            <w:noWrap/>
            <w:vAlign w:val="bottom"/>
          </w:tcPr>
          <w:p w:rsidR="004B4774" w:rsidRPr="00117252" w:rsidRDefault="004B4774" w:rsidP="009A5A02">
            <w:pPr>
              <w:rPr>
                <w:rFonts w:asciiTheme="majorHAnsi" w:hAnsiTheme="majorHAnsi" w:cstheme="majorHAnsi"/>
                <w:color w:val="000000"/>
                <w:sz w:val="18"/>
              </w:rPr>
            </w:pPr>
            <w:r w:rsidRPr="00117252">
              <w:rPr>
                <w:rFonts w:asciiTheme="majorHAnsi" w:hAnsiTheme="majorHAnsi" w:cstheme="majorHAnsi"/>
                <w:color w:val="000000"/>
                <w:sz w:val="18"/>
              </w:rPr>
              <w:t>5-10 years</w:t>
            </w:r>
          </w:p>
        </w:tc>
        <w:tc>
          <w:tcPr>
            <w:tcW w:w="2786"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4%</w:t>
            </w:r>
          </w:p>
        </w:tc>
        <w:tc>
          <w:tcPr>
            <w:tcW w:w="3158"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18%</w:t>
            </w:r>
          </w:p>
        </w:tc>
      </w:tr>
      <w:tr w:rsidR="004B4774" w:rsidRPr="00117252" w:rsidTr="00B25544">
        <w:trPr>
          <w:trHeight w:val="307"/>
        </w:trPr>
        <w:tc>
          <w:tcPr>
            <w:tcW w:w="3176" w:type="dxa"/>
            <w:shd w:val="clear" w:color="auto" w:fill="D9D9D9" w:themeFill="background1" w:themeFillShade="D9"/>
            <w:noWrap/>
            <w:vAlign w:val="bottom"/>
          </w:tcPr>
          <w:p w:rsidR="004B4774" w:rsidRPr="00117252" w:rsidRDefault="004B4774" w:rsidP="009A5A02">
            <w:pPr>
              <w:rPr>
                <w:rFonts w:asciiTheme="majorHAnsi" w:hAnsiTheme="majorHAnsi" w:cstheme="majorHAnsi"/>
                <w:color w:val="000000"/>
                <w:sz w:val="18"/>
              </w:rPr>
            </w:pPr>
            <w:r w:rsidRPr="00117252">
              <w:rPr>
                <w:rFonts w:asciiTheme="majorHAnsi" w:hAnsiTheme="majorHAnsi" w:cstheme="majorHAnsi"/>
                <w:color w:val="000000"/>
                <w:sz w:val="18"/>
              </w:rPr>
              <w:t>10 years or more</w:t>
            </w:r>
          </w:p>
        </w:tc>
        <w:tc>
          <w:tcPr>
            <w:tcW w:w="2786"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78%</w:t>
            </w:r>
          </w:p>
        </w:tc>
        <w:tc>
          <w:tcPr>
            <w:tcW w:w="3158" w:type="dxa"/>
            <w:noWrap/>
            <w:vAlign w:val="bottom"/>
          </w:tcPr>
          <w:p w:rsidR="004B4774" w:rsidRPr="00290E0C" w:rsidRDefault="004B4774" w:rsidP="009A5A02">
            <w:pPr>
              <w:jc w:val="center"/>
              <w:rPr>
                <w:rFonts w:cstheme="minorHAnsi"/>
                <w:color w:val="000000"/>
                <w:sz w:val="18"/>
                <w:highlight w:val="yellow"/>
              </w:rPr>
            </w:pPr>
            <w:r>
              <w:rPr>
                <w:rFonts w:ascii="Arial" w:hAnsi="Arial" w:cs="Arial"/>
                <w:color w:val="000000"/>
                <w:sz w:val="18"/>
              </w:rPr>
              <w:t>58%</w:t>
            </w:r>
          </w:p>
        </w:tc>
      </w:tr>
    </w:tbl>
    <w:p w:rsidR="004B4774" w:rsidRPr="00C174FF" w:rsidRDefault="004B4774" w:rsidP="004B4774">
      <w:pPr>
        <w:pStyle w:val="Source"/>
      </w:pPr>
      <w:r w:rsidRPr="00C174FF">
        <w:t xml:space="preserve">Source: Census 2001/2011, AECOM </w:t>
      </w:r>
      <w:r w:rsidR="001157B7">
        <w:t>c</w:t>
      </w:r>
      <w:r w:rsidRPr="00C174FF">
        <w:t>alculations</w:t>
      </w:r>
    </w:p>
    <w:p w:rsidR="004B4774" w:rsidRDefault="004B4774" w:rsidP="004B4774">
      <w:pPr>
        <w:pStyle w:val="Heading2"/>
        <w:rPr>
          <w:lang w:val="en-US"/>
        </w:rPr>
      </w:pPr>
      <w:bookmarkStart w:id="190" w:name="_Toc495920034"/>
      <w:bookmarkStart w:id="191" w:name="_Toc504464752"/>
      <w:bookmarkEnd w:id="149"/>
      <w:r w:rsidRPr="009C7161">
        <w:rPr>
          <w:lang w:val="en-US"/>
        </w:rPr>
        <w:t>Overcrowding and concealed families</w:t>
      </w:r>
      <w:bookmarkEnd w:id="190"/>
      <w:bookmarkEnd w:id="191"/>
    </w:p>
    <w:p w:rsidR="004B4774" w:rsidRPr="00BF41E1" w:rsidRDefault="004B4774" w:rsidP="00A258B5">
      <w:pPr>
        <w:pStyle w:val="ListNumber"/>
      </w:pPr>
      <w:r w:rsidRPr="00BF41E1">
        <w:t>Another indicator of demand in the housing market is shown by the prevalence of overcrowding in the NPA. This is because demand for housing in the area can manifest itself in the over-occupation of housing stock</w:t>
      </w:r>
      <w:r>
        <w:t xml:space="preserve">. </w:t>
      </w:r>
    </w:p>
    <w:p w:rsidR="004B4774" w:rsidRPr="00A258B5" w:rsidRDefault="004B4774" w:rsidP="00A258B5">
      <w:pPr>
        <w:pStyle w:val="ListNumber"/>
        <w:rPr>
          <w:lang w:val="en-US"/>
        </w:rPr>
      </w:pPr>
      <w:r w:rsidRPr="00BF41E1">
        <w:rPr>
          <w:rFonts w:ascii="Arial" w:hAnsi="Arial" w:cs="Arial"/>
        </w:rPr>
        <w:t>One of the most reliable indicators of overcrowding is the ‘persons per room’ data collected at the household level during the Census. The relative proportion of households occupying differe</w:t>
      </w:r>
      <w:r>
        <w:rPr>
          <w:rFonts w:ascii="Arial" w:hAnsi="Arial" w:cs="Arial"/>
        </w:rPr>
        <w:t>nt amounts of space in t</w:t>
      </w:r>
      <w:r w:rsidRPr="00BF41E1">
        <w:rPr>
          <w:rFonts w:ascii="Arial" w:hAnsi="Arial" w:cs="Arial"/>
        </w:rPr>
        <w:t xml:space="preserve">he NPA and the </w:t>
      </w:r>
      <w:r w:rsidR="005F5CF8">
        <w:rPr>
          <w:rFonts w:ascii="Arial" w:hAnsi="Arial" w:cs="Arial"/>
        </w:rPr>
        <w:t>District</w:t>
      </w:r>
      <w:r>
        <w:rPr>
          <w:rFonts w:ascii="Arial" w:hAnsi="Arial" w:cs="Arial"/>
        </w:rPr>
        <w:t xml:space="preserve"> is shown in </w:t>
      </w:r>
      <w:r>
        <w:rPr>
          <w:rFonts w:ascii="Arial" w:hAnsi="Arial" w:cs="Arial"/>
        </w:rPr>
        <w:fldChar w:fldCharType="begin"/>
      </w:r>
      <w:r>
        <w:rPr>
          <w:rFonts w:ascii="Arial" w:hAnsi="Arial" w:cs="Arial"/>
        </w:rPr>
        <w:instrText xml:space="preserve"> REF _Ref495662403 \h </w:instrText>
      </w:r>
      <w:r>
        <w:rPr>
          <w:rFonts w:ascii="Arial" w:hAnsi="Arial" w:cs="Arial"/>
        </w:rPr>
      </w:r>
      <w:r>
        <w:rPr>
          <w:rFonts w:ascii="Arial" w:hAnsi="Arial" w:cs="Arial"/>
        </w:rPr>
        <w:fldChar w:fldCharType="separate"/>
      </w:r>
      <w:r w:rsidR="00A258B5">
        <w:t xml:space="preserve">Table </w:t>
      </w:r>
      <w:r w:rsidR="00A258B5">
        <w:rPr>
          <w:noProof/>
        </w:rPr>
        <w:t>28</w:t>
      </w:r>
      <w:r>
        <w:rPr>
          <w:rFonts w:ascii="Arial" w:hAnsi="Arial" w:cs="Arial"/>
        </w:rPr>
        <w:fldChar w:fldCharType="end"/>
      </w:r>
      <w:r>
        <w:rPr>
          <w:rFonts w:ascii="Arial" w:hAnsi="Arial" w:cs="Arial"/>
        </w:rPr>
        <w:t xml:space="preserve">, </w:t>
      </w:r>
      <w:r w:rsidRPr="00BF41E1">
        <w:rPr>
          <w:rFonts w:ascii="Arial" w:hAnsi="Arial" w:cs="Arial"/>
        </w:rPr>
        <w:t>which demonstrates that</w:t>
      </w:r>
      <w:r>
        <w:rPr>
          <w:rFonts w:ascii="Arial" w:hAnsi="Arial" w:cs="Arial"/>
        </w:rPr>
        <w:t xml:space="preserve"> West Wittering households do not experience overcrowding. </w:t>
      </w:r>
    </w:p>
    <w:p w:rsidR="00A258B5" w:rsidRDefault="00A258B5" w:rsidP="00A258B5">
      <w:pPr>
        <w:pStyle w:val="ListNumber"/>
        <w:numPr>
          <w:ilvl w:val="0"/>
          <w:numId w:val="0"/>
        </w:numPr>
        <w:rPr>
          <w:lang w:val="en-US"/>
        </w:rPr>
      </w:pPr>
    </w:p>
    <w:p w:rsidR="004B4774" w:rsidRPr="001409C2" w:rsidRDefault="004B4774" w:rsidP="004B4774">
      <w:pPr>
        <w:pStyle w:val="Caption"/>
      </w:pPr>
      <w:bookmarkStart w:id="192" w:name="_Ref495662403"/>
      <w:bookmarkStart w:id="193" w:name="_Toc488669624"/>
      <w:bookmarkStart w:id="194" w:name="_Toc495920058"/>
      <w:r>
        <w:t xml:space="preserve">Table </w:t>
      </w:r>
      <w:fldSimple w:instr=" SEQ Table \* ARABIC ">
        <w:r w:rsidR="00B25544">
          <w:rPr>
            <w:noProof/>
          </w:rPr>
          <w:t>28</w:t>
        </w:r>
      </w:fldSimple>
      <w:bookmarkEnd w:id="192"/>
      <w:r>
        <w:t xml:space="preserve">: </w:t>
      </w:r>
      <w:r w:rsidRPr="00EC6126">
        <w:t xml:space="preserve">Trends in number of persons per room in </w:t>
      </w:r>
      <w:r>
        <w:t>West Wittering</w:t>
      </w:r>
      <w:r w:rsidRPr="00EC6126">
        <w:t>, 2001-2011</w:t>
      </w:r>
      <w:bookmarkEnd w:id="193"/>
      <w:bookmarkEnd w:id="194"/>
    </w:p>
    <w:tbl>
      <w:tblPr>
        <w:tblStyle w:val="TableGrid"/>
        <w:tblW w:w="0" w:type="auto"/>
        <w:tblLook w:val="04A0" w:firstRow="1" w:lastRow="0" w:firstColumn="1" w:lastColumn="0" w:noHBand="0" w:noVBand="1"/>
      </w:tblPr>
      <w:tblGrid>
        <w:gridCol w:w="3191"/>
        <w:gridCol w:w="1881"/>
        <w:gridCol w:w="1449"/>
        <w:gridCol w:w="1449"/>
        <w:gridCol w:w="1390"/>
      </w:tblGrid>
      <w:tr w:rsidR="004B4774" w:rsidRPr="00B25544" w:rsidTr="00B25544">
        <w:trPr>
          <w:cnfStyle w:val="100000000000" w:firstRow="1" w:lastRow="0" w:firstColumn="0" w:lastColumn="0" w:oddVBand="0" w:evenVBand="0" w:oddHBand="0" w:evenHBand="0" w:firstRowFirstColumn="0" w:firstRowLastColumn="0" w:lastRowFirstColumn="0" w:lastRowLastColumn="0"/>
          <w:trHeight w:val="240"/>
        </w:trPr>
        <w:tc>
          <w:tcPr>
            <w:tcW w:w="3191" w:type="dxa"/>
            <w:shd w:val="clear" w:color="auto" w:fill="000000" w:themeFill="text1"/>
            <w:noWrap/>
            <w:hideMark/>
          </w:tcPr>
          <w:p w:rsidR="004B4774" w:rsidRPr="00B25544" w:rsidRDefault="00B25544" w:rsidP="009A5A02">
            <w:pPr>
              <w:rPr>
                <w:b/>
                <w:sz w:val="18"/>
              </w:rPr>
            </w:pPr>
            <w:r w:rsidRPr="00B25544">
              <w:rPr>
                <w:b/>
                <w:sz w:val="18"/>
              </w:rPr>
              <w:t>Occupancy Rating</w:t>
            </w:r>
          </w:p>
        </w:tc>
        <w:tc>
          <w:tcPr>
            <w:tcW w:w="1881" w:type="dxa"/>
            <w:shd w:val="clear" w:color="auto" w:fill="000000" w:themeFill="text1"/>
            <w:noWrap/>
            <w:hideMark/>
          </w:tcPr>
          <w:p w:rsidR="004B4774" w:rsidRPr="00B25544" w:rsidRDefault="004B4774" w:rsidP="009A5A02">
            <w:pPr>
              <w:rPr>
                <w:b/>
                <w:bCs/>
                <w:sz w:val="18"/>
              </w:rPr>
            </w:pPr>
            <w:r w:rsidRPr="00B25544">
              <w:rPr>
                <w:b/>
                <w:bCs/>
                <w:sz w:val="18"/>
              </w:rPr>
              <w:t>2001</w:t>
            </w:r>
          </w:p>
        </w:tc>
        <w:tc>
          <w:tcPr>
            <w:tcW w:w="1449" w:type="dxa"/>
            <w:shd w:val="clear" w:color="auto" w:fill="000000" w:themeFill="text1"/>
            <w:noWrap/>
            <w:hideMark/>
          </w:tcPr>
          <w:p w:rsidR="004B4774" w:rsidRPr="00B25544" w:rsidRDefault="004B4774" w:rsidP="009A5A02">
            <w:pPr>
              <w:rPr>
                <w:b/>
                <w:bCs/>
                <w:sz w:val="18"/>
              </w:rPr>
            </w:pPr>
            <w:r w:rsidRPr="00B25544">
              <w:rPr>
                <w:b/>
                <w:bCs/>
                <w:sz w:val="18"/>
              </w:rPr>
              <w:t>2001</w:t>
            </w:r>
          </w:p>
        </w:tc>
        <w:tc>
          <w:tcPr>
            <w:tcW w:w="1449" w:type="dxa"/>
            <w:shd w:val="clear" w:color="auto" w:fill="000000" w:themeFill="text1"/>
            <w:noWrap/>
            <w:hideMark/>
          </w:tcPr>
          <w:p w:rsidR="004B4774" w:rsidRPr="00B25544" w:rsidRDefault="004B4774" w:rsidP="009A5A02">
            <w:pPr>
              <w:rPr>
                <w:b/>
                <w:bCs/>
                <w:sz w:val="18"/>
              </w:rPr>
            </w:pPr>
            <w:r w:rsidRPr="00B25544">
              <w:rPr>
                <w:b/>
                <w:bCs/>
                <w:sz w:val="18"/>
              </w:rPr>
              <w:t>2011</w:t>
            </w:r>
          </w:p>
        </w:tc>
        <w:tc>
          <w:tcPr>
            <w:tcW w:w="1390" w:type="dxa"/>
            <w:shd w:val="clear" w:color="auto" w:fill="000000" w:themeFill="text1"/>
            <w:noWrap/>
            <w:hideMark/>
          </w:tcPr>
          <w:p w:rsidR="004B4774" w:rsidRPr="00B25544" w:rsidRDefault="004B4774" w:rsidP="009A5A02">
            <w:pPr>
              <w:rPr>
                <w:b/>
                <w:bCs/>
                <w:sz w:val="18"/>
              </w:rPr>
            </w:pPr>
            <w:r w:rsidRPr="00B25544">
              <w:rPr>
                <w:b/>
                <w:bCs/>
                <w:sz w:val="18"/>
              </w:rPr>
              <w:t>2011</w:t>
            </w:r>
          </w:p>
        </w:tc>
      </w:tr>
      <w:tr w:rsidR="004B4774" w:rsidRPr="00B25544" w:rsidTr="00B25544">
        <w:trPr>
          <w:trHeight w:val="240"/>
        </w:trPr>
        <w:tc>
          <w:tcPr>
            <w:tcW w:w="3191" w:type="dxa"/>
            <w:shd w:val="clear" w:color="auto" w:fill="000000" w:themeFill="text1"/>
            <w:noWrap/>
            <w:hideMark/>
          </w:tcPr>
          <w:p w:rsidR="004B4774" w:rsidRPr="00B25544" w:rsidRDefault="004B4774" w:rsidP="009A5A02">
            <w:pPr>
              <w:rPr>
                <w:sz w:val="18"/>
              </w:rPr>
            </w:pPr>
          </w:p>
        </w:tc>
        <w:tc>
          <w:tcPr>
            <w:tcW w:w="1881" w:type="dxa"/>
            <w:shd w:val="clear" w:color="auto" w:fill="000000" w:themeFill="text1"/>
            <w:noWrap/>
            <w:hideMark/>
          </w:tcPr>
          <w:p w:rsidR="004B4774" w:rsidRPr="00B25544" w:rsidRDefault="004B4774" w:rsidP="009A5A02">
            <w:pPr>
              <w:rPr>
                <w:b/>
                <w:bCs/>
                <w:sz w:val="18"/>
              </w:rPr>
            </w:pPr>
            <w:r w:rsidRPr="00B25544">
              <w:rPr>
                <w:b/>
                <w:bCs/>
                <w:sz w:val="18"/>
              </w:rPr>
              <w:t>West Wittering</w:t>
            </w:r>
          </w:p>
        </w:tc>
        <w:tc>
          <w:tcPr>
            <w:tcW w:w="1449" w:type="dxa"/>
            <w:shd w:val="clear" w:color="auto" w:fill="000000" w:themeFill="text1"/>
            <w:noWrap/>
            <w:hideMark/>
          </w:tcPr>
          <w:p w:rsidR="004B4774" w:rsidRPr="00B25544" w:rsidRDefault="004B4774" w:rsidP="009A5A02">
            <w:pPr>
              <w:rPr>
                <w:b/>
                <w:bCs/>
                <w:sz w:val="18"/>
              </w:rPr>
            </w:pPr>
            <w:r w:rsidRPr="00B25544">
              <w:rPr>
                <w:b/>
                <w:bCs/>
                <w:sz w:val="18"/>
              </w:rPr>
              <w:t>Chichester</w:t>
            </w:r>
          </w:p>
        </w:tc>
        <w:tc>
          <w:tcPr>
            <w:tcW w:w="1449" w:type="dxa"/>
            <w:shd w:val="clear" w:color="auto" w:fill="000000" w:themeFill="text1"/>
            <w:noWrap/>
            <w:hideMark/>
          </w:tcPr>
          <w:p w:rsidR="004B4774" w:rsidRPr="00B25544" w:rsidRDefault="004B4774" w:rsidP="009A5A02">
            <w:pPr>
              <w:rPr>
                <w:b/>
                <w:bCs/>
                <w:sz w:val="18"/>
              </w:rPr>
            </w:pPr>
            <w:r w:rsidRPr="00B25544">
              <w:rPr>
                <w:b/>
                <w:bCs/>
                <w:sz w:val="18"/>
              </w:rPr>
              <w:t>West Wittering</w:t>
            </w:r>
          </w:p>
        </w:tc>
        <w:tc>
          <w:tcPr>
            <w:tcW w:w="1390" w:type="dxa"/>
            <w:shd w:val="clear" w:color="auto" w:fill="000000" w:themeFill="text1"/>
            <w:noWrap/>
            <w:hideMark/>
          </w:tcPr>
          <w:p w:rsidR="004B4774" w:rsidRPr="00B25544" w:rsidRDefault="004B4774" w:rsidP="009A5A02">
            <w:pPr>
              <w:rPr>
                <w:b/>
                <w:bCs/>
                <w:sz w:val="18"/>
              </w:rPr>
            </w:pPr>
            <w:r w:rsidRPr="00B25544">
              <w:rPr>
                <w:b/>
                <w:bCs/>
                <w:sz w:val="18"/>
              </w:rPr>
              <w:t>Chichester</w:t>
            </w:r>
          </w:p>
        </w:tc>
      </w:tr>
      <w:tr w:rsidR="004B4774" w:rsidRPr="00B25544" w:rsidTr="00B25544">
        <w:trPr>
          <w:trHeight w:val="228"/>
        </w:trPr>
        <w:tc>
          <w:tcPr>
            <w:tcW w:w="3191" w:type="dxa"/>
            <w:shd w:val="clear" w:color="auto" w:fill="D9D9D9" w:themeFill="background1" w:themeFillShade="D9"/>
            <w:noWrap/>
            <w:hideMark/>
          </w:tcPr>
          <w:p w:rsidR="004B4774" w:rsidRPr="00B25544" w:rsidRDefault="004B4774" w:rsidP="009A5A02">
            <w:pPr>
              <w:rPr>
                <w:sz w:val="18"/>
              </w:rPr>
            </w:pPr>
            <w:r w:rsidRPr="00B25544">
              <w:rPr>
                <w:sz w:val="18"/>
              </w:rPr>
              <w:t>Up to 0.5 persons per room</w:t>
            </w:r>
          </w:p>
        </w:tc>
        <w:tc>
          <w:tcPr>
            <w:tcW w:w="1881" w:type="dxa"/>
            <w:noWrap/>
            <w:hideMark/>
          </w:tcPr>
          <w:p w:rsidR="004B4774" w:rsidRPr="00B25544" w:rsidRDefault="004B4774" w:rsidP="009A5A02">
            <w:pPr>
              <w:rPr>
                <w:sz w:val="18"/>
              </w:rPr>
            </w:pPr>
            <w:r w:rsidRPr="00B25544">
              <w:rPr>
                <w:sz w:val="18"/>
              </w:rPr>
              <w:t>1171</w:t>
            </w:r>
          </w:p>
        </w:tc>
        <w:tc>
          <w:tcPr>
            <w:tcW w:w="1449" w:type="dxa"/>
            <w:noWrap/>
            <w:hideMark/>
          </w:tcPr>
          <w:p w:rsidR="004B4774" w:rsidRPr="00B25544" w:rsidRDefault="004B4774" w:rsidP="009A5A02">
            <w:pPr>
              <w:rPr>
                <w:sz w:val="18"/>
              </w:rPr>
            </w:pPr>
            <w:r w:rsidRPr="00B25544">
              <w:rPr>
                <w:sz w:val="18"/>
              </w:rPr>
              <w:t>35581</w:t>
            </w:r>
          </w:p>
        </w:tc>
        <w:tc>
          <w:tcPr>
            <w:tcW w:w="1449" w:type="dxa"/>
            <w:noWrap/>
            <w:hideMark/>
          </w:tcPr>
          <w:p w:rsidR="004B4774" w:rsidRPr="00B25544" w:rsidRDefault="004B4774" w:rsidP="009A5A02">
            <w:pPr>
              <w:rPr>
                <w:sz w:val="18"/>
              </w:rPr>
            </w:pPr>
            <w:r w:rsidRPr="00B25544">
              <w:rPr>
                <w:sz w:val="18"/>
              </w:rPr>
              <w:t>1184</w:t>
            </w:r>
          </w:p>
        </w:tc>
        <w:tc>
          <w:tcPr>
            <w:tcW w:w="1390" w:type="dxa"/>
            <w:noWrap/>
            <w:hideMark/>
          </w:tcPr>
          <w:p w:rsidR="004B4774" w:rsidRPr="00B25544" w:rsidRDefault="004B4774" w:rsidP="009A5A02">
            <w:pPr>
              <w:rPr>
                <w:sz w:val="18"/>
              </w:rPr>
            </w:pPr>
            <w:r w:rsidRPr="00B25544">
              <w:rPr>
                <w:sz w:val="18"/>
              </w:rPr>
              <w:t>39081</w:t>
            </w:r>
          </w:p>
        </w:tc>
      </w:tr>
      <w:tr w:rsidR="004B4774" w:rsidRPr="00B25544" w:rsidTr="00B25544">
        <w:trPr>
          <w:trHeight w:val="228"/>
        </w:trPr>
        <w:tc>
          <w:tcPr>
            <w:tcW w:w="3191" w:type="dxa"/>
            <w:shd w:val="clear" w:color="auto" w:fill="D9D9D9" w:themeFill="background1" w:themeFillShade="D9"/>
            <w:noWrap/>
            <w:hideMark/>
          </w:tcPr>
          <w:p w:rsidR="004B4774" w:rsidRPr="00B25544" w:rsidRDefault="004B4774" w:rsidP="009A5A02">
            <w:pPr>
              <w:rPr>
                <w:sz w:val="18"/>
              </w:rPr>
            </w:pPr>
            <w:r w:rsidRPr="00B25544">
              <w:rPr>
                <w:sz w:val="18"/>
              </w:rPr>
              <w:t>Over 0.5 and up to 1.0 persons per room</w:t>
            </w:r>
          </w:p>
        </w:tc>
        <w:tc>
          <w:tcPr>
            <w:tcW w:w="1881" w:type="dxa"/>
            <w:noWrap/>
            <w:hideMark/>
          </w:tcPr>
          <w:p w:rsidR="004B4774" w:rsidRPr="00B25544" w:rsidRDefault="004B4774" w:rsidP="009A5A02">
            <w:pPr>
              <w:rPr>
                <w:sz w:val="18"/>
              </w:rPr>
            </w:pPr>
            <w:r w:rsidRPr="00B25544">
              <w:rPr>
                <w:sz w:val="18"/>
              </w:rPr>
              <w:t>166</w:t>
            </w:r>
          </w:p>
        </w:tc>
        <w:tc>
          <w:tcPr>
            <w:tcW w:w="1449" w:type="dxa"/>
            <w:noWrap/>
            <w:hideMark/>
          </w:tcPr>
          <w:p w:rsidR="004B4774" w:rsidRPr="00B25544" w:rsidRDefault="004B4774" w:rsidP="009A5A02">
            <w:pPr>
              <w:rPr>
                <w:sz w:val="18"/>
              </w:rPr>
            </w:pPr>
            <w:r w:rsidRPr="00B25544">
              <w:rPr>
                <w:sz w:val="18"/>
              </w:rPr>
              <w:t>9805</w:t>
            </w:r>
          </w:p>
        </w:tc>
        <w:tc>
          <w:tcPr>
            <w:tcW w:w="1449" w:type="dxa"/>
            <w:noWrap/>
            <w:hideMark/>
          </w:tcPr>
          <w:p w:rsidR="004B4774" w:rsidRPr="00B25544" w:rsidRDefault="004B4774" w:rsidP="009A5A02">
            <w:pPr>
              <w:rPr>
                <w:sz w:val="18"/>
              </w:rPr>
            </w:pPr>
            <w:r w:rsidRPr="00B25544">
              <w:rPr>
                <w:sz w:val="18"/>
              </w:rPr>
              <w:t>166</w:t>
            </w:r>
          </w:p>
        </w:tc>
        <w:tc>
          <w:tcPr>
            <w:tcW w:w="1390" w:type="dxa"/>
            <w:noWrap/>
            <w:hideMark/>
          </w:tcPr>
          <w:p w:rsidR="004B4774" w:rsidRPr="00B25544" w:rsidRDefault="004B4774" w:rsidP="009A5A02">
            <w:pPr>
              <w:rPr>
                <w:sz w:val="18"/>
              </w:rPr>
            </w:pPr>
            <w:r w:rsidRPr="00B25544">
              <w:rPr>
                <w:sz w:val="18"/>
              </w:rPr>
              <w:t>10321</w:t>
            </w:r>
          </w:p>
        </w:tc>
      </w:tr>
      <w:tr w:rsidR="004B4774" w:rsidRPr="00B25544" w:rsidTr="00B25544">
        <w:trPr>
          <w:trHeight w:val="228"/>
        </w:trPr>
        <w:tc>
          <w:tcPr>
            <w:tcW w:w="3191" w:type="dxa"/>
            <w:shd w:val="clear" w:color="auto" w:fill="D9D9D9" w:themeFill="background1" w:themeFillShade="D9"/>
            <w:noWrap/>
            <w:hideMark/>
          </w:tcPr>
          <w:p w:rsidR="004B4774" w:rsidRPr="00B25544" w:rsidRDefault="004B4774" w:rsidP="009A5A02">
            <w:pPr>
              <w:rPr>
                <w:sz w:val="18"/>
              </w:rPr>
            </w:pPr>
            <w:r w:rsidRPr="00B25544">
              <w:rPr>
                <w:sz w:val="18"/>
              </w:rPr>
              <w:t>Over 1.0 and up to 1.5 persons per room</w:t>
            </w:r>
          </w:p>
        </w:tc>
        <w:tc>
          <w:tcPr>
            <w:tcW w:w="1881" w:type="dxa"/>
            <w:noWrap/>
            <w:hideMark/>
          </w:tcPr>
          <w:p w:rsidR="004B4774" w:rsidRPr="00B25544" w:rsidRDefault="004B4774" w:rsidP="009A5A02">
            <w:pPr>
              <w:rPr>
                <w:sz w:val="18"/>
              </w:rPr>
            </w:pPr>
            <w:r w:rsidRPr="00B25544">
              <w:rPr>
                <w:sz w:val="18"/>
              </w:rPr>
              <w:t>6</w:t>
            </w:r>
          </w:p>
        </w:tc>
        <w:tc>
          <w:tcPr>
            <w:tcW w:w="1449" w:type="dxa"/>
            <w:noWrap/>
            <w:hideMark/>
          </w:tcPr>
          <w:p w:rsidR="004B4774" w:rsidRPr="00B25544" w:rsidRDefault="004B4774" w:rsidP="009A5A02">
            <w:pPr>
              <w:rPr>
                <w:sz w:val="18"/>
              </w:rPr>
            </w:pPr>
            <w:r w:rsidRPr="00B25544">
              <w:rPr>
                <w:sz w:val="18"/>
              </w:rPr>
              <w:t>325</w:t>
            </w:r>
          </w:p>
        </w:tc>
        <w:tc>
          <w:tcPr>
            <w:tcW w:w="1449" w:type="dxa"/>
            <w:noWrap/>
            <w:hideMark/>
          </w:tcPr>
          <w:p w:rsidR="004B4774" w:rsidRPr="00B25544" w:rsidRDefault="004B4774" w:rsidP="009A5A02">
            <w:pPr>
              <w:rPr>
                <w:sz w:val="18"/>
              </w:rPr>
            </w:pPr>
            <w:r w:rsidRPr="00B25544">
              <w:rPr>
                <w:sz w:val="18"/>
              </w:rPr>
              <w:t>2</w:t>
            </w:r>
          </w:p>
        </w:tc>
        <w:tc>
          <w:tcPr>
            <w:tcW w:w="1390" w:type="dxa"/>
            <w:noWrap/>
            <w:hideMark/>
          </w:tcPr>
          <w:p w:rsidR="004B4774" w:rsidRPr="00B25544" w:rsidRDefault="004B4774" w:rsidP="009A5A02">
            <w:pPr>
              <w:rPr>
                <w:sz w:val="18"/>
              </w:rPr>
            </w:pPr>
            <w:r w:rsidRPr="00B25544">
              <w:rPr>
                <w:sz w:val="18"/>
              </w:rPr>
              <w:t>377</w:t>
            </w:r>
          </w:p>
        </w:tc>
      </w:tr>
      <w:tr w:rsidR="004B4774" w:rsidRPr="00B25544" w:rsidTr="00B25544">
        <w:trPr>
          <w:trHeight w:val="228"/>
        </w:trPr>
        <w:tc>
          <w:tcPr>
            <w:tcW w:w="3191" w:type="dxa"/>
            <w:shd w:val="clear" w:color="auto" w:fill="D9D9D9" w:themeFill="background1" w:themeFillShade="D9"/>
            <w:noWrap/>
            <w:hideMark/>
          </w:tcPr>
          <w:p w:rsidR="004B4774" w:rsidRPr="00B25544" w:rsidRDefault="004B4774" w:rsidP="009A5A02">
            <w:pPr>
              <w:rPr>
                <w:sz w:val="18"/>
              </w:rPr>
            </w:pPr>
            <w:r w:rsidRPr="00B25544">
              <w:rPr>
                <w:sz w:val="18"/>
              </w:rPr>
              <w:t>Over 1.5 persons per room</w:t>
            </w:r>
          </w:p>
        </w:tc>
        <w:tc>
          <w:tcPr>
            <w:tcW w:w="1881" w:type="dxa"/>
            <w:noWrap/>
            <w:hideMark/>
          </w:tcPr>
          <w:p w:rsidR="004B4774" w:rsidRPr="00B25544" w:rsidRDefault="004B4774" w:rsidP="009A5A02">
            <w:pPr>
              <w:rPr>
                <w:sz w:val="18"/>
              </w:rPr>
            </w:pPr>
            <w:r w:rsidRPr="00B25544">
              <w:rPr>
                <w:sz w:val="18"/>
              </w:rPr>
              <w:t>0</w:t>
            </w:r>
          </w:p>
        </w:tc>
        <w:tc>
          <w:tcPr>
            <w:tcW w:w="1449" w:type="dxa"/>
            <w:noWrap/>
            <w:hideMark/>
          </w:tcPr>
          <w:p w:rsidR="004B4774" w:rsidRPr="00B25544" w:rsidRDefault="004B4774" w:rsidP="009A5A02">
            <w:pPr>
              <w:rPr>
                <w:sz w:val="18"/>
              </w:rPr>
            </w:pPr>
            <w:r w:rsidRPr="00B25544">
              <w:rPr>
                <w:sz w:val="18"/>
              </w:rPr>
              <w:t>85</w:t>
            </w:r>
          </w:p>
        </w:tc>
        <w:tc>
          <w:tcPr>
            <w:tcW w:w="1449" w:type="dxa"/>
            <w:noWrap/>
            <w:hideMark/>
          </w:tcPr>
          <w:p w:rsidR="004B4774" w:rsidRPr="00B25544" w:rsidRDefault="004B4774" w:rsidP="009A5A02">
            <w:pPr>
              <w:rPr>
                <w:sz w:val="18"/>
              </w:rPr>
            </w:pPr>
            <w:r w:rsidRPr="00B25544">
              <w:rPr>
                <w:sz w:val="18"/>
              </w:rPr>
              <w:t>0</w:t>
            </w:r>
          </w:p>
        </w:tc>
        <w:tc>
          <w:tcPr>
            <w:tcW w:w="1390" w:type="dxa"/>
            <w:noWrap/>
            <w:hideMark/>
          </w:tcPr>
          <w:p w:rsidR="004B4774" w:rsidRPr="00B25544" w:rsidRDefault="004B4774" w:rsidP="009A5A02">
            <w:pPr>
              <w:rPr>
                <w:sz w:val="18"/>
              </w:rPr>
            </w:pPr>
            <w:r w:rsidRPr="00B25544">
              <w:rPr>
                <w:sz w:val="18"/>
              </w:rPr>
              <w:t>69</w:t>
            </w:r>
          </w:p>
        </w:tc>
      </w:tr>
    </w:tbl>
    <w:p w:rsidR="004B4774" w:rsidRDefault="004B4774" w:rsidP="004B4774">
      <w:pPr>
        <w:pStyle w:val="Source"/>
      </w:pPr>
      <w:r w:rsidRPr="00A016C8">
        <w:t xml:space="preserve">Source: Census 2001/2011, AECOM </w:t>
      </w:r>
      <w:r w:rsidR="001157B7">
        <w:t>c</w:t>
      </w:r>
      <w:r w:rsidRPr="00A016C8">
        <w:t>alculations</w:t>
      </w:r>
    </w:p>
    <w:p w:rsidR="004B4774" w:rsidRPr="00A54150" w:rsidRDefault="004B4774" w:rsidP="00A258B5">
      <w:pPr>
        <w:pStyle w:val="ListNumber"/>
      </w:pPr>
      <w:r w:rsidRPr="00BF41E1">
        <w:lastRenderedPageBreak/>
        <w:t>A second indicator of overcrowdin</w:t>
      </w:r>
      <w:r>
        <w:t>g is the prevalence of c</w:t>
      </w:r>
      <w:r w:rsidRPr="00BF41E1">
        <w:t>oncealed families within the NPA.</w:t>
      </w:r>
      <w:r>
        <w:t xml:space="preserve"> </w:t>
      </w:r>
      <w:r w:rsidRPr="007C1F69">
        <w:rPr>
          <w:lang w:val="en"/>
        </w:rPr>
        <w:t>A concealed family is one living in a multi-family household in addition to the primary family, such as a young couple living with parents.</w:t>
      </w:r>
      <w:r>
        <w:rPr>
          <w:rStyle w:val="FootnoteReference"/>
          <w:rFonts w:cs="Arial"/>
          <w:lang w:val="en"/>
        </w:rPr>
        <w:footnoteReference w:id="55"/>
      </w:r>
      <w:r w:rsidRPr="00BF41E1">
        <w:t xml:space="preserve"> ONS data shows</w:t>
      </w:r>
      <w:r>
        <w:t xml:space="preserve"> that there are 10 </w:t>
      </w:r>
      <w:r w:rsidRPr="00BF41E1">
        <w:t>conc</w:t>
      </w:r>
      <w:r>
        <w:t xml:space="preserve">ealed families in West Wittering, or 1.2% of all families, slightly lower than the average for Chichester (1.3%) and for England as a whole (1.9%), as shown in </w:t>
      </w:r>
      <w:r w:rsidR="00B25544">
        <w:fldChar w:fldCharType="begin"/>
      </w:r>
      <w:r w:rsidR="00B25544">
        <w:instrText xml:space="preserve"> REF _Ref495668025 \h </w:instrText>
      </w:r>
      <w:r w:rsidR="00B25544">
        <w:fldChar w:fldCharType="separate"/>
      </w:r>
      <w:r w:rsidR="00B25544">
        <w:t xml:space="preserve">Table </w:t>
      </w:r>
      <w:r w:rsidR="00B25544">
        <w:rPr>
          <w:noProof/>
        </w:rPr>
        <w:t>29</w:t>
      </w:r>
      <w:r w:rsidR="00B25544">
        <w:fldChar w:fldCharType="end"/>
      </w:r>
      <w:r w:rsidR="00B25544">
        <w:t>.</w:t>
      </w:r>
      <w:r>
        <w:t xml:space="preserve"> </w:t>
      </w:r>
      <w:r w:rsidRPr="00BF41E1">
        <w:t xml:space="preserve">This is not seen as highly significant, although concealed families do indicate that there </w:t>
      </w:r>
      <w:r>
        <w:t>is unmet additional</w:t>
      </w:r>
      <w:r w:rsidRPr="00BF41E1">
        <w:t xml:space="preserve"> demand for housing in the area </w:t>
      </w:r>
      <w:r>
        <w:t>from those already living there, that is, local demand.</w:t>
      </w:r>
    </w:p>
    <w:p w:rsidR="004B4774" w:rsidRDefault="004B4774" w:rsidP="004B4774">
      <w:pPr>
        <w:pStyle w:val="Caption"/>
      </w:pPr>
      <w:bookmarkStart w:id="195" w:name="_Ref495668025"/>
      <w:bookmarkStart w:id="196" w:name="_Toc488669625"/>
      <w:bookmarkStart w:id="197" w:name="_Toc495920059"/>
      <w:r>
        <w:t xml:space="preserve">Table </w:t>
      </w:r>
      <w:fldSimple w:instr=" SEQ Table \* ARABIC ">
        <w:r w:rsidR="00B25544">
          <w:rPr>
            <w:noProof/>
          </w:rPr>
          <w:t>29</w:t>
        </w:r>
      </w:fldSimple>
      <w:bookmarkEnd w:id="195"/>
      <w:r>
        <w:t xml:space="preserve">: Concealed families in West Wittering, </w:t>
      </w:r>
      <w:r w:rsidRPr="00074984">
        <w:t>2011</w:t>
      </w:r>
      <w:bookmarkEnd w:id="196"/>
      <w:bookmarkEnd w:id="197"/>
    </w:p>
    <w:tbl>
      <w:tblPr>
        <w:tblW w:w="9077" w:type="dxa"/>
        <w:tblInd w:w="103" w:type="dxa"/>
        <w:tblLook w:val="04A0" w:firstRow="1" w:lastRow="0" w:firstColumn="1" w:lastColumn="0" w:noHBand="0" w:noVBand="1"/>
      </w:tblPr>
      <w:tblGrid>
        <w:gridCol w:w="3407"/>
        <w:gridCol w:w="1843"/>
        <w:gridCol w:w="1701"/>
        <w:gridCol w:w="2126"/>
      </w:tblGrid>
      <w:tr w:rsidR="004B4774" w:rsidRPr="00117252" w:rsidTr="009A5A02">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Concealed families</w:t>
            </w:r>
          </w:p>
        </w:tc>
        <w:tc>
          <w:tcPr>
            <w:tcW w:w="1843"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Pr>
                <w:rFonts w:eastAsia="Times New Roman" w:cstheme="majorHAnsi"/>
                <w:b/>
                <w:bCs/>
                <w:color w:val="FFFFFF" w:themeColor="background1"/>
                <w:lang w:eastAsia="en-GB"/>
              </w:rPr>
              <w:t>West Wittering</w:t>
            </w:r>
          </w:p>
        </w:tc>
        <w:tc>
          <w:tcPr>
            <w:tcW w:w="1701"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Pr>
                <w:rFonts w:eastAsia="Times New Roman" w:cstheme="majorHAnsi"/>
                <w:b/>
                <w:bCs/>
                <w:color w:val="FFFFFF" w:themeColor="background1"/>
                <w:lang w:eastAsia="en-GB"/>
              </w:rPr>
              <w:t>Chichester</w:t>
            </w:r>
          </w:p>
        </w:tc>
        <w:tc>
          <w:tcPr>
            <w:tcW w:w="2126" w:type="dxa"/>
            <w:tcBorders>
              <w:top w:val="single" w:sz="4" w:space="0" w:color="auto"/>
              <w:left w:val="nil"/>
              <w:bottom w:val="single" w:sz="4" w:space="0" w:color="auto"/>
              <w:right w:val="single" w:sz="4" w:space="0" w:color="auto"/>
            </w:tcBorders>
            <w:shd w:val="clear" w:color="auto" w:fill="000000" w:themeFill="text1"/>
            <w:noWrap/>
            <w:vAlign w:val="bottom"/>
            <w:hideMark/>
          </w:tcPr>
          <w:p w:rsidR="004B4774" w:rsidRPr="00117252" w:rsidRDefault="004B4774" w:rsidP="009A5A02">
            <w:pPr>
              <w:spacing w:line="240" w:lineRule="auto"/>
              <w:rPr>
                <w:rFonts w:asciiTheme="majorHAnsi" w:eastAsia="Times New Roman" w:hAnsiTheme="majorHAnsi" w:cstheme="majorHAnsi"/>
                <w:b/>
                <w:bCs/>
                <w:color w:val="FFFFFF" w:themeColor="background1"/>
                <w:lang w:eastAsia="en-GB"/>
              </w:rPr>
            </w:pPr>
            <w:r w:rsidRPr="00117252">
              <w:rPr>
                <w:rFonts w:asciiTheme="majorHAnsi" w:eastAsia="Times New Roman" w:hAnsiTheme="majorHAnsi" w:cstheme="majorHAnsi"/>
                <w:b/>
                <w:bCs/>
                <w:color w:val="FFFFFF" w:themeColor="background1"/>
                <w:lang w:eastAsia="en-GB"/>
              </w:rPr>
              <w:t>England</w:t>
            </w:r>
          </w:p>
        </w:tc>
      </w:tr>
      <w:tr w:rsidR="004B4774" w:rsidRPr="00117252" w:rsidTr="009A5A02">
        <w:trPr>
          <w:trHeight w:val="288"/>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All families: total</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837</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32,930</w:t>
            </w:r>
          </w:p>
        </w:tc>
        <w:tc>
          <w:tcPr>
            <w:tcW w:w="2126"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14,885,145</w:t>
            </w:r>
          </w:p>
        </w:tc>
      </w:tr>
      <w:tr w:rsidR="004B4774" w:rsidRPr="00117252" w:rsidTr="009A5A02">
        <w:trPr>
          <w:trHeight w:val="288"/>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Concealed families: total</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10</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428</w:t>
            </w:r>
          </w:p>
        </w:tc>
        <w:tc>
          <w:tcPr>
            <w:tcW w:w="2126"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275,954</w:t>
            </w:r>
          </w:p>
        </w:tc>
      </w:tr>
      <w:tr w:rsidR="004B4774" w:rsidRPr="00117252" w:rsidTr="009A5A02">
        <w:trPr>
          <w:trHeight w:val="288"/>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4B4774" w:rsidRPr="00117252" w:rsidRDefault="004B4774" w:rsidP="009A5A02">
            <w:pPr>
              <w:spacing w:line="240" w:lineRule="auto"/>
              <w:rPr>
                <w:rFonts w:asciiTheme="majorHAnsi" w:eastAsia="Times New Roman" w:hAnsiTheme="majorHAnsi" w:cstheme="majorHAnsi"/>
                <w:color w:val="000000"/>
                <w:lang w:eastAsia="en-GB"/>
              </w:rPr>
            </w:pPr>
            <w:r w:rsidRPr="00117252">
              <w:rPr>
                <w:rFonts w:asciiTheme="majorHAnsi" w:eastAsia="Times New Roman" w:hAnsiTheme="majorHAnsi" w:cstheme="majorHAnsi"/>
                <w:color w:val="000000"/>
                <w:lang w:eastAsia="en-GB"/>
              </w:rPr>
              <w:t>Concealed families as % of total</w:t>
            </w:r>
          </w:p>
        </w:tc>
        <w:tc>
          <w:tcPr>
            <w:tcW w:w="1843"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1.2%</w:t>
            </w:r>
          </w:p>
        </w:tc>
        <w:tc>
          <w:tcPr>
            <w:tcW w:w="1701"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1.3%</w:t>
            </w:r>
          </w:p>
        </w:tc>
        <w:tc>
          <w:tcPr>
            <w:tcW w:w="2126" w:type="dxa"/>
            <w:tcBorders>
              <w:top w:val="nil"/>
              <w:left w:val="nil"/>
              <w:bottom w:val="single" w:sz="4" w:space="0" w:color="auto"/>
              <w:right w:val="single" w:sz="4" w:space="0" w:color="auto"/>
            </w:tcBorders>
            <w:shd w:val="clear" w:color="auto" w:fill="auto"/>
            <w:noWrap/>
            <w:vAlign w:val="bottom"/>
            <w:hideMark/>
          </w:tcPr>
          <w:p w:rsidR="004B4774" w:rsidRPr="00D90E49" w:rsidRDefault="004B4774" w:rsidP="009A5A02">
            <w:pPr>
              <w:jc w:val="center"/>
              <w:rPr>
                <w:rFonts w:ascii="Calibri" w:hAnsi="Calibri"/>
                <w:color w:val="000000"/>
                <w:sz w:val="22"/>
                <w:szCs w:val="22"/>
                <w:highlight w:val="yellow"/>
              </w:rPr>
            </w:pPr>
            <w:r>
              <w:rPr>
                <w:rFonts w:ascii="Arial" w:hAnsi="Arial" w:cs="Arial"/>
                <w:color w:val="000000"/>
              </w:rPr>
              <w:t>1.9%</w:t>
            </w:r>
          </w:p>
        </w:tc>
      </w:tr>
    </w:tbl>
    <w:p w:rsidR="004B4774" w:rsidRPr="00A54150" w:rsidRDefault="004B4774" w:rsidP="004B4774">
      <w:pPr>
        <w:pStyle w:val="Source"/>
      </w:pPr>
      <w:r>
        <w:t>Source: Census 2011, AECOM Calculations</w:t>
      </w:r>
    </w:p>
    <w:p w:rsidR="004B4774" w:rsidRDefault="004B4774" w:rsidP="004B4774">
      <w:pPr>
        <w:pStyle w:val="Heading2"/>
        <w:rPr>
          <w:lang w:val="en-US"/>
        </w:rPr>
      </w:pPr>
      <w:bookmarkStart w:id="198" w:name="_Toc495920035"/>
      <w:bookmarkStart w:id="199" w:name="_Toc504464753"/>
      <w:r w:rsidRPr="009C7161">
        <w:rPr>
          <w:lang w:val="en-US"/>
        </w:rPr>
        <w:t>Rate of development</w:t>
      </w:r>
      <w:bookmarkEnd w:id="198"/>
      <w:bookmarkEnd w:id="199"/>
    </w:p>
    <w:p w:rsidR="004B4774" w:rsidRPr="00CD0087" w:rsidRDefault="00B25544" w:rsidP="00A258B5">
      <w:pPr>
        <w:pStyle w:val="ListNumber"/>
      </w:pPr>
      <w:r>
        <w:rPr>
          <w:lang w:val="en-US"/>
        </w:rPr>
        <w:fldChar w:fldCharType="begin"/>
      </w:r>
      <w:r>
        <w:instrText xml:space="preserve"> REF _Ref495668071 \h </w:instrText>
      </w:r>
      <w:r>
        <w:rPr>
          <w:lang w:val="en-US"/>
        </w:rPr>
      </w:r>
      <w:r>
        <w:rPr>
          <w:lang w:val="en-US"/>
        </w:rPr>
        <w:fldChar w:fldCharType="separate"/>
      </w:r>
      <w:r w:rsidRPr="00CD6A54">
        <w:t xml:space="preserve">Table </w:t>
      </w:r>
      <w:r>
        <w:rPr>
          <w:noProof/>
        </w:rPr>
        <w:t>30</w:t>
      </w:r>
      <w:r>
        <w:rPr>
          <w:lang w:val="en-US"/>
        </w:rPr>
        <w:fldChar w:fldCharType="end"/>
      </w:r>
      <w:r w:rsidR="004B4774" w:rsidRPr="0079123B">
        <w:t xml:space="preserve"> </w:t>
      </w:r>
      <w:r w:rsidR="004B4774" w:rsidRPr="00030335">
        <w:t xml:space="preserve">shows the </w:t>
      </w:r>
      <w:r w:rsidR="004B4774" w:rsidRPr="00381CDC">
        <w:t>net housing completions to 31 March 2016</w:t>
      </w:r>
      <w:r w:rsidR="004B4774">
        <w:t xml:space="preserve"> in </w:t>
      </w:r>
      <w:r w:rsidR="004B4774" w:rsidRPr="00381CDC">
        <w:t>West Wittering and Chichester City</w:t>
      </w:r>
      <w:r w:rsidR="004B4774">
        <w:t>. The data shows there was an important increase in housing completions in 2015/2016 as 90% of the total net completions since 2012 were built over this period. This rate of development shows that actual supply is in line with planned supply.</w:t>
      </w:r>
    </w:p>
    <w:p w:rsidR="004B4774" w:rsidRPr="00CD6A54" w:rsidRDefault="004B4774" w:rsidP="004B4774">
      <w:pPr>
        <w:pStyle w:val="Caption"/>
        <w:rPr>
          <w:b w:val="0"/>
          <w:bCs w:val="0"/>
        </w:rPr>
      </w:pPr>
      <w:bookmarkStart w:id="200" w:name="_Ref495668071"/>
      <w:bookmarkStart w:id="201" w:name="_Toc488669626"/>
      <w:bookmarkStart w:id="202" w:name="_Toc495920060"/>
      <w:r w:rsidRPr="00CD6A54">
        <w:t xml:space="preserve">Table </w:t>
      </w:r>
      <w:r w:rsidRPr="005D578D">
        <w:fldChar w:fldCharType="begin"/>
      </w:r>
      <w:r w:rsidRPr="00CD6A54">
        <w:instrText xml:space="preserve"> SEQ Table \* ARABIC </w:instrText>
      </w:r>
      <w:r w:rsidRPr="005D578D">
        <w:fldChar w:fldCharType="separate"/>
      </w:r>
      <w:r w:rsidR="00B25544">
        <w:rPr>
          <w:noProof/>
        </w:rPr>
        <w:t>30</w:t>
      </w:r>
      <w:r w:rsidRPr="005D578D">
        <w:fldChar w:fldCharType="end"/>
      </w:r>
      <w:bookmarkEnd w:id="200"/>
      <w:r w:rsidRPr="00CD6A54">
        <w:t xml:space="preserve">: </w:t>
      </w:r>
      <w:bookmarkEnd w:id="201"/>
      <w:r>
        <w:t>West Wittering and Chichester City net housing completions to 31 March 2016</w:t>
      </w:r>
      <w:bookmarkEnd w:id="202"/>
    </w:p>
    <w:tbl>
      <w:tblPr>
        <w:tblStyle w:val="TableGrid"/>
        <w:tblW w:w="0" w:type="auto"/>
        <w:tblLayout w:type="fixed"/>
        <w:tblLook w:val="04A0" w:firstRow="1" w:lastRow="0" w:firstColumn="1" w:lastColumn="0" w:noHBand="0" w:noVBand="1"/>
      </w:tblPr>
      <w:tblGrid>
        <w:gridCol w:w="2042"/>
        <w:gridCol w:w="1559"/>
        <w:gridCol w:w="1559"/>
        <w:gridCol w:w="1559"/>
        <w:gridCol w:w="1560"/>
      </w:tblGrid>
      <w:tr w:rsidR="004B4774" w:rsidRPr="00FD2D2F" w:rsidTr="009A5A02">
        <w:trPr>
          <w:cnfStyle w:val="100000000000" w:firstRow="1" w:lastRow="0" w:firstColumn="0" w:lastColumn="0" w:oddVBand="0" w:evenVBand="0" w:oddHBand="0" w:evenHBand="0" w:firstRowFirstColumn="0" w:firstRowLastColumn="0" w:lastRowFirstColumn="0" w:lastRowLastColumn="0"/>
          <w:trHeight w:val="359"/>
        </w:trPr>
        <w:tc>
          <w:tcPr>
            <w:tcW w:w="2042" w:type="dxa"/>
            <w:shd w:val="clear" w:color="auto" w:fill="000000" w:themeFill="text1"/>
            <w:noWrap/>
            <w:hideMark/>
          </w:tcPr>
          <w:p w:rsidR="004B4774" w:rsidRPr="00097B36" w:rsidRDefault="004B4774" w:rsidP="009A5A02">
            <w:pPr>
              <w:ind w:firstLine="720"/>
              <w:rPr>
                <w:rFonts w:ascii="Arial" w:eastAsia="Times New Roman" w:hAnsi="Arial" w:cs="Arial"/>
                <w:b/>
                <w:bCs/>
                <w:color w:val="FFFFFF" w:themeColor="background1"/>
                <w:sz w:val="18"/>
                <w:lang w:eastAsia="en-GB"/>
              </w:rPr>
            </w:pPr>
          </w:p>
        </w:tc>
        <w:tc>
          <w:tcPr>
            <w:tcW w:w="1559" w:type="dxa"/>
            <w:shd w:val="clear" w:color="auto" w:fill="000000" w:themeFill="text1"/>
            <w:noWrap/>
            <w:hideMark/>
          </w:tcPr>
          <w:p w:rsidR="004B4774" w:rsidRPr="00837BAF" w:rsidRDefault="004B4774" w:rsidP="009A5A02">
            <w:pPr>
              <w:jc w:val="center"/>
              <w:rPr>
                <w:rFonts w:ascii="Arial" w:eastAsia="Times New Roman" w:hAnsi="Arial" w:cs="Arial"/>
                <w:b/>
                <w:bCs/>
                <w:color w:val="FFFFFF" w:themeColor="background1"/>
                <w:sz w:val="18"/>
                <w:lang w:eastAsia="en-GB"/>
              </w:rPr>
            </w:pPr>
            <w:r w:rsidRPr="00837BAF">
              <w:rPr>
                <w:b/>
              </w:rPr>
              <w:t>Number of homes planned to 2029</w:t>
            </w:r>
          </w:p>
        </w:tc>
        <w:tc>
          <w:tcPr>
            <w:tcW w:w="1559" w:type="dxa"/>
            <w:shd w:val="clear" w:color="auto" w:fill="000000" w:themeFill="text1"/>
            <w:noWrap/>
            <w:hideMark/>
          </w:tcPr>
          <w:p w:rsidR="004B4774" w:rsidRPr="00837BAF" w:rsidRDefault="004B4774" w:rsidP="009A5A02">
            <w:pPr>
              <w:jc w:val="center"/>
              <w:rPr>
                <w:rFonts w:ascii="Arial" w:eastAsia="Times New Roman" w:hAnsi="Arial" w:cs="Arial"/>
                <w:b/>
                <w:bCs/>
                <w:color w:val="FFFFFF" w:themeColor="background1"/>
                <w:sz w:val="18"/>
                <w:lang w:eastAsia="en-GB"/>
              </w:rPr>
            </w:pPr>
            <w:r w:rsidRPr="00837BAF">
              <w:rPr>
                <w:b/>
              </w:rPr>
              <w:t>Net housing completions 2015/16</w:t>
            </w:r>
          </w:p>
        </w:tc>
        <w:tc>
          <w:tcPr>
            <w:tcW w:w="1559" w:type="dxa"/>
            <w:shd w:val="clear" w:color="auto" w:fill="000000" w:themeFill="text1"/>
            <w:noWrap/>
            <w:hideMark/>
          </w:tcPr>
          <w:p w:rsidR="004B4774" w:rsidRPr="00837BAF" w:rsidRDefault="004B4774" w:rsidP="009A5A02">
            <w:pPr>
              <w:jc w:val="center"/>
              <w:rPr>
                <w:rFonts w:ascii="Arial" w:eastAsia="Times New Roman" w:hAnsi="Arial" w:cs="Arial"/>
                <w:b/>
                <w:bCs/>
                <w:color w:val="FFFFFF" w:themeColor="background1"/>
                <w:sz w:val="18"/>
                <w:lang w:eastAsia="en-GB"/>
              </w:rPr>
            </w:pPr>
            <w:r w:rsidRPr="00837BAF">
              <w:rPr>
                <w:b/>
              </w:rPr>
              <w:t>Total net completions since 1 April 2012</w:t>
            </w:r>
          </w:p>
        </w:tc>
        <w:tc>
          <w:tcPr>
            <w:tcW w:w="1560" w:type="dxa"/>
            <w:shd w:val="clear" w:color="auto" w:fill="000000" w:themeFill="text1"/>
            <w:noWrap/>
            <w:hideMark/>
          </w:tcPr>
          <w:p w:rsidR="004B4774" w:rsidRPr="00837BAF" w:rsidRDefault="004B4774" w:rsidP="009A5A02">
            <w:pPr>
              <w:jc w:val="center"/>
              <w:rPr>
                <w:rFonts w:ascii="Arial" w:eastAsia="Times New Roman" w:hAnsi="Arial" w:cs="Arial"/>
                <w:b/>
                <w:bCs/>
                <w:color w:val="FFFFFF" w:themeColor="background1"/>
                <w:sz w:val="18"/>
                <w:lang w:eastAsia="en-GB"/>
              </w:rPr>
            </w:pPr>
            <w:r>
              <w:rPr>
                <w:b/>
              </w:rPr>
              <w:t xml:space="preserve">Remaining </w:t>
            </w:r>
            <w:r w:rsidR="005F5CF8">
              <w:rPr>
                <w:b/>
              </w:rPr>
              <w:t>Parish</w:t>
            </w:r>
            <w:r>
              <w:rPr>
                <w:b/>
              </w:rPr>
              <w:t xml:space="preserve"> </w:t>
            </w:r>
            <w:r w:rsidRPr="00837BAF">
              <w:rPr>
                <w:b/>
              </w:rPr>
              <w:t>housing yet to be delivered</w:t>
            </w:r>
          </w:p>
        </w:tc>
      </w:tr>
      <w:tr w:rsidR="004B4774" w:rsidRPr="00FD2D2F" w:rsidTr="009A5A02">
        <w:trPr>
          <w:trHeight w:val="359"/>
        </w:trPr>
        <w:tc>
          <w:tcPr>
            <w:tcW w:w="2042" w:type="dxa"/>
            <w:shd w:val="clear" w:color="auto" w:fill="D9D9D9" w:themeFill="background1" w:themeFillShade="D9"/>
            <w:noWrap/>
            <w:hideMark/>
          </w:tcPr>
          <w:p w:rsidR="004B4774" w:rsidRPr="00FD2D2F" w:rsidRDefault="004B4774" w:rsidP="009A5A02">
            <w:pPr>
              <w:rPr>
                <w:rFonts w:ascii="Arial" w:eastAsia="Times New Roman" w:hAnsi="Arial" w:cs="Arial"/>
                <w:sz w:val="18"/>
                <w:lang w:eastAsia="en-GB"/>
              </w:rPr>
            </w:pPr>
            <w:r>
              <w:rPr>
                <w:rFonts w:ascii="Arial" w:eastAsia="Times New Roman" w:hAnsi="Arial" w:cs="Arial"/>
                <w:sz w:val="18"/>
                <w:lang w:eastAsia="en-GB"/>
              </w:rPr>
              <w:t>West Wittering</w:t>
            </w:r>
          </w:p>
        </w:tc>
        <w:tc>
          <w:tcPr>
            <w:tcW w:w="1559" w:type="dxa"/>
            <w:noWrap/>
          </w:tcPr>
          <w:p w:rsidR="004B4774" w:rsidRPr="00FD2D2F"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50</w:t>
            </w:r>
          </w:p>
        </w:tc>
        <w:tc>
          <w:tcPr>
            <w:tcW w:w="1559" w:type="dxa"/>
            <w:noWrap/>
          </w:tcPr>
          <w:p w:rsidR="004B4774" w:rsidRPr="00FD2D2F"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45</w:t>
            </w:r>
          </w:p>
        </w:tc>
        <w:tc>
          <w:tcPr>
            <w:tcW w:w="1559" w:type="dxa"/>
            <w:noWrap/>
          </w:tcPr>
          <w:p w:rsidR="004B4774" w:rsidRPr="00FD2D2F"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50</w:t>
            </w:r>
          </w:p>
        </w:tc>
        <w:tc>
          <w:tcPr>
            <w:tcW w:w="1560" w:type="dxa"/>
            <w:noWrap/>
          </w:tcPr>
          <w:p w:rsidR="004B4774" w:rsidRPr="00FD2D2F"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0</w:t>
            </w:r>
          </w:p>
        </w:tc>
      </w:tr>
      <w:tr w:rsidR="004B4774" w:rsidRPr="00FD2D2F" w:rsidTr="009A5A02">
        <w:trPr>
          <w:trHeight w:val="359"/>
        </w:trPr>
        <w:tc>
          <w:tcPr>
            <w:tcW w:w="2042" w:type="dxa"/>
            <w:shd w:val="clear" w:color="auto" w:fill="D9D9D9" w:themeFill="background1" w:themeFillShade="D9"/>
            <w:noWrap/>
          </w:tcPr>
          <w:p w:rsidR="004B4774" w:rsidRDefault="004B4774" w:rsidP="009A5A02">
            <w:pPr>
              <w:rPr>
                <w:rFonts w:ascii="Arial" w:eastAsia="Times New Roman" w:hAnsi="Arial" w:cs="Arial"/>
                <w:lang w:eastAsia="en-GB"/>
              </w:rPr>
            </w:pPr>
            <w:r w:rsidRPr="007D4CC6">
              <w:rPr>
                <w:rFonts w:ascii="Arial" w:eastAsia="Times New Roman" w:hAnsi="Arial" w:cs="Arial"/>
                <w:sz w:val="18"/>
                <w:lang w:eastAsia="en-GB"/>
              </w:rPr>
              <w:t>Chichester city</w:t>
            </w:r>
          </w:p>
        </w:tc>
        <w:tc>
          <w:tcPr>
            <w:tcW w:w="1559" w:type="dxa"/>
            <w:noWrap/>
          </w:tcPr>
          <w:p w:rsidR="004B4774" w:rsidRPr="00324624"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235</w:t>
            </w:r>
          </w:p>
        </w:tc>
        <w:tc>
          <w:tcPr>
            <w:tcW w:w="1559" w:type="dxa"/>
            <w:noWrap/>
          </w:tcPr>
          <w:p w:rsidR="004B4774" w:rsidRPr="00324624"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8</w:t>
            </w:r>
          </w:p>
        </w:tc>
        <w:tc>
          <w:tcPr>
            <w:tcW w:w="1559" w:type="dxa"/>
            <w:noWrap/>
          </w:tcPr>
          <w:p w:rsidR="004B4774" w:rsidRPr="00324624"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17</w:t>
            </w:r>
          </w:p>
        </w:tc>
        <w:tc>
          <w:tcPr>
            <w:tcW w:w="1560" w:type="dxa"/>
            <w:noWrap/>
          </w:tcPr>
          <w:p w:rsidR="004B4774" w:rsidRPr="00324624" w:rsidRDefault="004B4774" w:rsidP="009A5A02">
            <w:pPr>
              <w:jc w:val="center"/>
              <w:rPr>
                <w:rFonts w:ascii="Arial" w:eastAsia="Times New Roman" w:hAnsi="Arial" w:cs="Arial"/>
                <w:sz w:val="18"/>
                <w:lang w:eastAsia="en-GB"/>
              </w:rPr>
            </w:pPr>
            <w:r w:rsidRPr="00324624">
              <w:rPr>
                <w:rFonts w:ascii="Arial" w:eastAsia="Times New Roman" w:hAnsi="Arial" w:cs="Arial"/>
                <w:sz w:val="18"/>
                <w:lang w:eastAsia="en-GB"/>
              </w:rPr>
              <w:t>218</w:t>
            </w:r>
          </w:p>
        </w:tc>
      </w:tr>
    </w:tbl>
    <w:p w:rsidR="004B4774" w:rsidRDefault="004B4774" w:rsidP="004B4774">
      <w:pPr>
        <w:pStyle w:val="Source"/>
      </w:pPr>
      <w:r w:rsidRPr="00FD2D2F">
        <w:t xml:space="preserve">Source: </w:t>
      </w:r>
      <w:r>
        <w:t xml:space="preserve">Chichester </w:t>
      </w:r>
      <w:r w:rsidR="005F5CF8">
        <w:t>District</w:t>
      </w:r>
      <w:r>
        <w:t xml:space="preserve"> Council Authority’s Monitoring Report 2015-2016</w:t>
      </w:r>
    </w:p>
    <w:p w:rsidR="004B4774" w:rsidRPr="00DA352E" w:rsidRDefault="00B25544" w:rsidP="00A258B5">
      <w:pPr>
        <w:pStyle w:val="ListNumber"/>
      </w:pPr>
      <w:r>
        <w:t>In F</w:t>
      </w:r>
      <w:r w:rsidR="00A258B5">
        <w:t>igure 11</w:t>
      </w:r>
      <w:r w:rsidR="004B4774" w:rsidRPr="00DA352E">
        <w:t xml:space="preserve"> below we </w:t>
      </w:r>
      <w:r>
        <w:t>reproduce F</w:t>
      </w:r>
      <w:r w:rsidR="004B4774">
        <w:t xml:space="preserve">igure 2 from the local authority’s Housing Monitoring Report; this confirms the finding set out in the previous paragraph that, broadly speaking, the </w:t>
      </w:r>
      <w:r w:rsidR="005F5CF8">
        <w:t>District</w:t>
      </w:r>
      <w:r w:rsidR="004B4774">
        <w:t xml:space="preserve"> is has been able to make good progress in meeting its housing supply targets.  </w:t>
      </w:r>
    </w:p>
    <w:p w:rsidR="00A258B5" w:rsidRDefault="00A258B5" w:rsidP="00A258B5">
      <w:pPr>
        <w:pStyle w:val="Caption"/>
      </w:pPr>
      <w:r>
        <w:t xml:space="preserve">Figure </w:t>
      </w:r>
      <w:fldSimple w:instr=" SEQ Figure \* ARABIC ">
        <w:r>
          <w:rPr>
            <w:noProof/>
          </w:rPr>
          <w:t>11</w:t>
        </w:r>
      </w:fldSimple>
      <w:r>
        <w:t>: Actual/projected housing completions against Local Plan housing target 2012-2029</w:t>
      </w:r>
    </w:p>
    <w:p w:rsidR="004B4774" w:rsidRDefault="004B4774" w:rsidP="004B4774">
      <w:pPr>
        <w:rPr>
          <w:lang w:val="en-US"/>
        </w:rPr>
      </w:pPr>
      <w:r>
        <w:rPr>
          <w:noProof/>
          <w:lang w:eastAsia="en-GB"/>
        </w:rPr>
        <w:drawing>
          <wp:inline distT="0" distB="0" distL="0" distR="0" wp14:anchorId="1BB28412" wp14:editId="2A816602">
            <wp:extent cx="5731510" cy="25584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completion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inline>
        </w:drawing>
      </w:r>
    </w:p>
    <w:p w:rsidR="004B4774" w:rsidRPr="003C5AC4" w:rsidRDefault="004B4774" w:rsidP="004B4774">
      <w:pPr>
        <w:pStyle w:val="Source"/>
      </w:pPr>
      <w:r w:rsidRPr="00FD2D2F">
        <w:t>Source:</w:t>
      </w:r>
      <w:r>
        <w:t xml:space="preserve"> Chichester </w:t>
      </w:r>
      <w:r w:rsidR="005F5CF8">
        <w:t>District</w:t>
      </w:r>
      <w:r>
        <w:t xml:space="preserve"> Council Authority’s Monitoring Report 2015-2016, p.47</w:t>
      </w:r>
    </w:p>
    <w:p w:rsidR="00A258B5" w:rsidRDefault="00A258B5">
      <w:pPr>
        <w:tabs>
          <w:tab w:val="clear" w:pos="284"/>
        </w:tabs>
        <w:spacing w:line="240" w:lineRule="auto"/>
        <w:rPr>
          <w:lang w:val="en-US"/>
        </w:rPr>
      </w:pPr>
    </w:p>
    <w:p w:rsidR="00E80CC8" w:rsidRPr="00B90B1C" w:rsidRDefault="00E80CC8" w:rsidP="00B90B1C">
      <w:pPr>
        <w:pStyle w:val="Heading1"/>
        <w:rPr>
          <w:lang w:val="en-US"/>
        </w:rPr>
      </w:pPr>
      <w:bookmarkStart w:id="203" w:name="_Toc425332020"/>
      <w:bookmarkStart w:id="204" w:name="_Toc461696227"/>
      <w:bookmarkStart w:id="205" w:name="_Toc504464754"/>
      <w:r w:rsidRPr="00B90B1C">
        <w:rPr>
          <w:lang w:val="en-US"/>
        </w:rPr>
        <w:lastRenderedPageBreak/>
        <w:t>Conclusions</w:t>
      </w:r>
      <w:bookmarkEnd w:id="203"/>
      <w:bookmarkEnd w:id="204"/>
      <w:bookmarkEnd w:id="205"/>
    </w:p>
    <w:p w:rsidR="00E80CC8" w:rsidRPr="00B90B1C" w:rsidRDefault="00E80CC8" w:rsidP="00B90B1C">
      <w:pPr>
        <w:pStyle w:val="Heading2"/>
      </w:pPr>
      <w:bookmarkStart w:id="206" w:name="_Toc445878370"/>
      <w:bookmarkStart w:id="207" w:name="_Toc461696228"/>
      <w:bookmarkStart w:id="208" w:name="_Toc504464755"/>
      <w:bookmarkStart w:id="209" w:name="_Toc425332021"/>
      <w:r w:rsidRPr="00B90B1C">
        <w:rPr>
          <w:lang w:val="en-US"/>
        </w:rPr>
        <w:t>Overview</w:t>
      </w:r>
      <w:bookmarkEnd w:id="206"/>
      <w:bookmarkEnd w:id="207"/>
      <w:bookmarkEnd w:id="208"/>
    </w:p>
    <w:p w:rsidR="00B25544" w:rsidRDefault="00B25544" w:rsidP="00B25544">
      <w:pPr>
        <w:pStyle w:val="Caption"/>
      </w:pPr>
      <w:r>
        <w:t xml:space="preserve">Table </w:t>
      </w:r>
      <w:r w:rsidR="008D2376">
        <w:fldChar w:fldCharType="begin"/>
      </w:r>
      <w:r w:rsidR="008D2376">
        <w:instrText xml:space="preserve"> SEQ Table \* ARABIC </w:instrText>
      </w:r>
      <w:r w:rsidR="008D2376">
        <w:fldChar w:fldCharType="separate"/>
      </w:r>
      <w:r>
        <w:rPr>
          <w:noProof/>
        </w:rPr>
        <w:t>31</w:t>
      </w:r>
      <w:r w:rsidR="008D2376">
        <w:rPr>
          <w:noProof/>
        </w:rPr>
        <w:fldChar w:fldCharType="end"/>
      </w:r>
      <w:r>
        <w:t xml:space="preserve">: </w:t>
      </w:r>
      <w:r w:rsidRPr="004130CF">
        <w:t>Summary of factors specific to West Wittering with a potential impact on neighbourhood plan housing quantity</w:t>
      </w:r>
    </w:p>
    <w:tbl>
      <w:tblPr>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76"/>
        <w:gridCol w:w="1702"/>
        <w:gridCol w:w="1975"/>
        <w:gridCol w:w="4547"/>
      </w:tblGrid>
      <w:tr w:rsidR="005F5CF8" w:rsidRPr="008042E5" w:rsidTr="009144D7">
        <w:trPr>
          <w:tblHeader/>
        </w:trPr>
        <w:tc>
          <w:tcPr>
            <w:tcW w:w="1676" w:type="dxa"/>
            <w:shd w:val="clear" w:color="auto" w:fill="000000" w:themeFill="text1"/>
            <w:hideMark/>
          </w:tcPr>
          <w:p w:rsidR="005F5CF8" w:rsidRPr="00E82A91" w:rsidRDefault="005F5CF8" w:rsidP="009144D7">
            <w:pPr>
              <w:pStyle w:val="BodyText"/>
              <w:rPr>
                <w:bCs/>
              </w:rPr>
            </w:pPr>
            <w:r w:rsidRPr="00E82A91">
              <w:rPr>
                <w:bCs/>
              </w:rPr>
              <w:t>Factor</w:t>
            </w:r>
          </w:p>
        </w:tc>
        <w:tc>
          <w:tcPr>
            <w:tcW w:w="1702" w:type="dxa"/>
            <w:shd w:val="clear" w:color="auto" w:fill="000000" w:themeFill="text1"/>
            <w:hideMark/>
          </w:tcPr>
          <w:p w:rsidR="005F5CF8" w:rsidRPr="00E82A91" w:rsidRDefault="005F5CF8" w:rsidP="009144D7">
            <w:pPr>
              <w:pStyle w:val="BodyText"/>
              <w:rPr>
                <w:bCs/>
              </w:rPr>
            </w:pPr>
            <w:r>
              <w:rPr>
                <w:bCs/>
              </w:rPr>
              <w:t>Source(s) (see Chapter 5</w:t>
            </w:r>
            <w:r w:rsidRPr="00E82A91">
              <w:rPr>
                <w:bCs/>
              </w:rPr>
              <w:t>)</w:t>
            </w:r>
          </w:p>
        </w:tc>
        <w:tc>
          <w:tcPr>
            <w:tcW w:w="1975" w:type="dxa"/>
            <w:shd w:val="clear" w:color="auto" w:fill="000000" w:themeFill="text1"/>
            <w:hideMark/>
          </w:tcPr>
          <w:p w:rsidR="005F5CF8" w:rsidRPr="00E82A91" w:rsidRDefault="005F5CF8" w:rsidP="009144D7">
            <w:pPr>
              <w:pStyle w:val="BodyText"/>
              <w:rPr>
                <w:bCs/>
              </w:rPr>
            </w:pPr>
            <w:r w:rsidRPr="00E82A91">
              <w:rPr>
                <w:bCs/>
              </w:rPr>
              <w:t>Possible impact on housing needed</w:t>
            </w:r>
          </w:p>
        </w:tc>
        <w:tc>
          <w:tcPr>
            <w:tcW w:w="4547" w:type="dxa"/>
            <w:shd w:val="clear" w:color="auto" w:fill="000000" w:themeFill="text1"/>
          </w:tcPr>
          <w:p w:rsidR="005F5CF8" w:rsidRPr="00E82A91" w:rsidRDefault="005F5CF8" w:rsidP="009144D7">
            <w:pPr>
              <w:pStyle w:val="BodyText"/>
              <w:rPr>
                <w:bCs/>
              </w:rPr>
            </w:pPr>
            <w:r w:rsidRPr="00E82A91">
              <w:rPr>
                <w:bCs/>
              </w:rPr>
              <w:t>Conclusion</w:t>
            </w:r>
          </w:p>
          <w:p w:rsidR="005F5CF8" w:rsidRPr="00E82A91" w:rsidRDefault="005F5CF8" w:rsidP="009144D7">
            <w:pPr>
              <w:pStyle w:val="BodyText"/>
              <w:rPr>
                <w:bCs/>
              </w:rPr>
            </w:pPr>
          </w:p>
        </w:tc>
      </w:tr>
      <w:tr w:rsidR="005F5CF8" w:rsidRPr="008042E5"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Employment trends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635315" w:rsidRDefault="005F5CF8" w:rsidP="009144D7">
            <w:pPr>
              <w:pStyle w:val="BodyText"/>
              <w:rPr>
                <w:highlight w:val="yellow"/>
              </w:rPr>
            </w:pPr>
            <w:r w:rsidRPr="00A61BFF">
              <w:rPr>
                <w:rFonts w:asciiTheme="majorHAnsi" w:hAnsiTheme="majorHAnsi" w:cstheme="majorHAnsi"/>
                <w:szCs w:val="24"/>
              </w:rPr>
              <w:t xml:space="preserve">LEPSEP, CLP, Census 2001/11 </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highlight w:val="yellow"/>
              </w:rPr>
            </w:pPr>
            <w:r w:rsidRPr="00C54D45">
              <w:rPr>
                <w:rFonts w:asciiTheme="majorHAnsi" w:hAnsiTheme="majorHAnsi" w:cstheme="majorHAnsi"/>
                <w:sz w:val="96"/>
                <w:szCs w:val="96"/>
              </w:rPr>
              <w:sym w:font="Symbol" w:char="F0AD"/>
            </w: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Default="005F5CF8" w:rsidP="009144D7">
            <w:pPr>
              <w:pStyle w:val="BodyText"/>
              <w:rPr>
                <w:rFonts w:cstheme="minorHAnsi"/>
                <w:szCs w:val="24"/>
              </w:rPr>
            </w:pPr>
            <w:r w:rsidRPr="00EB08F4">
              <w:rPr>
                <w:rFonts w:cstheme="minorHAnsi"/>
                <w:szCs w:val="24"/>
              </w:rPr>
              <w:t xml:space="preserve">The wider economic area has been shown to have numerous global and competitive companies across a wide </w:t>
            </w:r>
            <w:r w:rsidRPr="001505F0">
              <w:rPr>
                <w:rFonts w:cstheme="minorHAnsi"/>
                <w:szCs w:val="24"/>
              </w:rPr>
              <w:t xml:space="preserve">range of sectors, with a potential for growth. </w:t>
            </w:r>
          </w:p>
          <w:p w:rsidR="005F5CF8" w:rsidRPr="00C8146C" w:rsidRDefault="005F5CF8" w:rsidP="009144D7">
            <w:pPr>
              <w:pStyle w:val="BodyText"/>
              <w:rPr>
                <w:rFonts w:cstheme="minorHAnsi"/>
                <w:highlight w:val="yellow"/>
              </w:rPr>
            </w:pPr>
            <w:r w:rsidRPr="001505F0">
              <w:rPr>
                <w:rFonts w:cstheme="minorHAnsi"/>
                <w:szCs w:val="24"/>
              </w:rPr>
              <w:t xml:space="preserve">Furthermore, future investment in transport infrastructure has been </w:t>
            </w:r>
            <w:r w:rsidRPr="00120488">
              <w:rPr>
                <w:rFonts w:cstheme="minorHAnsi"/>
                <w:szCs w:val="24"/>
              </w:rPr>
              <w:t xml:space="preserve">shown to have a likely impact on West Wittering in terms of demand for housing, as is potential growth in intrinsic </w:t>
            </w:r>
            <w:r>
              <w:rPr>
                <w:rFonts w:cstheme="minorHAnsi"/>
                <w:szCs w:val="24"/>
              </w:rPr>
              <w:t>businesses based inside the NPA</w:t>
            </w:r>
            <w:r w:rsidRPr="00120488">
              <w:rPr>
                <w:rFonts w:cstheme="minorHAnsi"/>
                <w:szCs w:val="24"/>
              </w:rPr>
              <w:t>. Therefore two</w:t>
            </w:r>
            <w:r>
              <w:rPr>
                <w:rFonts w:cstheme="minorHAnsi"/>
                <w:szCs w:val="24"/>
              </w:rPr>
              <w:t xml:space="preserve"> up arrows have</w:t>
            </w:r>
            <w:r w:rsidRPr="001505F0">
              <w:rPr>
                <w:rFonts w:cstheme="minorHAnsi"/>
                <w:szCs w:val="24"/>
              </w:rPr>
              <w:t xml:space="preserve"> been deemed appropriate. </w:t>
            </w:r>
          </w:p>
        </w:tc>
      </w:tr>
      <w:tr w:rsidR="005F5CF8" w:rsidRPr="008042E5" w:rsidTr="009144D7">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Housing transactions (</w:t>
            </w:r>
            <w:r>
              <w:rPr>
                <w:rFonts w:asciiTheme="majorHAnsi" w:hAnsiTheme="majorHAnsi" w:cstheme="majorHAnsi"/>
                <w:b/>
                <w:szCs w:val="24"/>
              </w:rPr>
              <w:t>p</w:t>
            </w:r>
            <w:r w:rsidRPr="00C54D45">
              <w:rPr>
                <w:rFonts w:asciiTheme="majorHAnsi" w:hAnsiTheme="majorHAnsi" w:cstheme="majorHAnsi"/>
                <w:b/>
                <w:szCs w:val="24"/>
              </w:rPr>
              <w:t>rices)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635315" w:rsidRDefault="005F5CF8" w:rsidP="009144D7">
            <w:pPr>
              <w:pStyle w:val="BodyText"/>
              <w:rPr>
                <w:highlight w:val="yellow"/>
              </w:rPr>
            </w:pPr>
            <w:r w:rsidRPr="00A61BFF">
              <w:rPr>
                <w:rFonts w:asciiTheme="majorHAnsi" w:hAnsiTheme="majorHAnsi" w:cstheme="majorHAnsi"/>
                <w:szCs w:val="24"/>
              </w:rPr>
              <w:t>PPG, Land Registry Price Paid Data for  2007-2016,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highlight w:val="yellow"/>
              </w:rPr>
            </w:pPr>
            <w:r w:rsidRPr="00C54D45">
              <w:rPr>
                <w:rFonts w:asciiTheme="majorHAnsi" w:hAnsiTheme="majorHAnsi" w:cstheme="majorHAnsi"/>
                <w:sz w:val="96"/>
                <w:szCs w:val="96"/>
              </w:rPr>
              <w:sym w:font="Symbol" w:char="F0AD"/>
            </w: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Default="005F5CF8" w:rsidP="009144D7">
            <w:pPr>
              <w:pStyle w:val="BodyText"/>
              <w:rPr>
                <w:rFonts w:cstheme="minorHAnsi"/>
                <w:szCs w:val="24"/>
              </w:rPr>
            </w:pPr>
            <w:r w:rsidRPr="007044A9">
              <w:rPr>
                <w:rFonts w:cstheme="minorHAnsi"/>
                <w:szCs w:val="24"/>
              </w:rPr>
              <w:t>The West Wittering NPA has bee</w:t>
            </w:r>
            <w:r>
              <w:rPr>
                <w:rFonts w:cstheme="minorHAnsi"/>
                <w:szCs w:val="24"/>
              </w:rPr>
              <w:t>n shown to have experienced an 18</w:t>
            </w:r>
            <w:r w:rsidRPr="007044A9">
              <w:rPr>
                <w:rFonts w:cstheme="minorHAnsi"/>
                <w:szCs w:val="24"/>
              </w:rPr>
              <w:t xml:space="preserve">% increase in price paid for properties of all types over a ten year </w:t>
            </w:r>
            <w:r w:rsidRPr="004E0BA1">
              <w:rPr>
                <w:rFonts w:cstheme="minorHAnsi"/>
                <w:szCs w:val="24"/>
              </w:rPr>
              <w:t xml:space="preserve">period. </w:t>
            </w:r>
          </w:p>
          <w:p w:rsidR="005F5CF8" w:rsidRPr="00C8146C" w:rsidRDefault="005F5CF8" w:rsidP="009144D7">
            <w:pPr>
              <w:pStyle w:val="BodyText"/>
              <w:rPr>
                <w:rFonts w:cstheme="minorHAnsi"/>
                <w:highlight w:val="yellow"/>
              </w:rPr>
            </w:pPr>
            <w:r w:rsidRPr="004E0BA1">
              <w:rPr>
                <w:rFonts w:cstheme="minorHAnsi"/>
                <w:szCs w:val="24"/>
              </w:rPr>
              <w:t>The price paid varies per ho</w:t>
            </w:r>
            <w:r w:rsidRPr="00094F58">
              <w:rPr>
                <w:rFonts w:cstheme="minorHAnsi"/>
                <w:szCs w:val="24"/>
              </w:rPr>
              <w:t>using typ</w:t>
            </w:r>
            <w:r>
              <w:rPr>
                <w:rFonts w:cstheme="minorHAnsi"/>
                <w:szCs w:val="24"/>
              </w:rPr>
              <w:t xml:space="preserve">e (detached, semi-detached, terraced and flats) </w:t>
            </w:r>
            <w:r w:rsidRPr="00B04C58">
              <w:rPr>
                <w:rFonts w:cstheme="minorHAnsi"/>
                <w:szCs w:val="24"/>
              </w:rPr>
              <w:t xml:space="preserve"> </w:t>
            </w:r>
            <w:r w:rsidRPr="00094F58">
              <w:rPr>
                <w:rFonts w:cstheme="minorHAnsi"/>
                <w:szCs w:val="24"/>
              </w:rPr>
              <w:t xml:space="preserve"> but has remained relatively high across all types. Although price growth in West Wittering was less than in the </w:t>
            </w:r>
            <w:r>
              <w:rPr>
                <w:rFonts w:cstheme="minorHAnsi"/>
                <w:szCs w:val="24"/>
              </w:rPr>
              <w:t>District</w:t>
            </w:r>
            <w:r w:rsidRPr="00094F58">
              <w:rPr>
                <w:rFonts w:cstheme="minorHAnsi"/>
                <w:szCs w:val="24"/>
              </w:rPr>
              <w:t xml:space="preserve"> as a whole, this was from a higher base, and therefore, two</w:t>
            </w:r>
            <w:r>
              <w:rPr>
                <w:rFonts w:cstheme="minorHAnsi"/>
                <w:szCs w:val="24"/>
              </w:rPr>
              <w:t xml:space="preserve"> up arrows have</w:t>
            </w:r>
            <w:r w:rsidRPr="00094F58">
              <w:rPr>
                <w:rFonts w:cstheme="minorHAnsi"/>
                <w:szCs w:val="24"/>
              </w:rPr>
              <w:t xml:space="preserve"> been deemed appropriate.</w:t>
            </w:r>
          </w:p>
        </w:tc>
      </w:tr>
      <w:tr w:rsidR="005F5CF8" w:rsidRPr="008042E5"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Housing Transactions (</w:t>
            </w:r>
            <w:r>
              <w:rPr>
                <w:rFonts w:asciiTheme="majorHAnsi" w:hAnsiTheme="majorHAnsi" w:cstheme="majorHAnsi"/>
                <w:b/>
                <w:szCs w:val="24"/>
              </w:rPr>
              <w:t>v</w:t>
            </w:r>
            <w:r w:rsidRPr="00C54D45">
              <w:rPr>
                <w:rFonts w:asciiTheme="majorHAnsi" w:hAnsiTheme="majorHAnsi" w:cstheme="majorHAnsi"/>
                <w:b/>
                <w:szCs w:val="24"/>
              </w:rPr>
              <w:t>olume)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635315" w:rsidRDefault="005F5CF8" w:rsidP="009144D7">
            <w:pPr>
              <w:pStyle w:val="BodyText"/>
              <w:rPr>
                <w:highlight w:val="yellow"/>
              </w:rPr>
            </w:pPr>
            <w:r w:rsidRPr="00A61BFF">
              <w:rPr>
                <w:rFonts w:asciiTheme="majorHAnsi" w:hAnsiTheme="majorHAnsi" w:cstheme="majorHAnsi"/>
                <w:szCs w:val="24"/>
              </w:rPr>
              <w:t>Land Registry Price Paid Data for  2007-201</w:t>
            </w:r>
            <w:r>
              <w:rPr>
                <w:rFonts w:asciiTheme="majorHAnsi" w:hAnsiTheme="majorHAnsi" w:cstheme="majorHAnsi"/>
                <w:szCs w:val="24"/>
              </w:rPr>
              <w:t>6, Census 2001/2011 data,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highlight w:val="yellow"/>
              </w:rPr>
            </w:pPr>
            <w:r w:rsidRPr="00C54D45">
              <w:rPr>
                <w:rFonts w:asciiTheme="majorHAnsi" w:hAnsiTheme="majorHAnsi" w:cstheme="majorHAnsi"/>
                <w:sz w:val="96"/>
                <w:szCs w:val="96"/>
              </w:rPr>
              <w:sym w:font="Symbol" w:char="F0AD"/>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C8146C" w:rsidRDefault="00381A26" w:rsidP="009144D7">
            <w:pPr>
              <w:pStyle w:val="BodyText"/>
              <w:rPr>
                <w:rFonts w:cstheme="minorHAnsi"/>
                <w:highlight w:val="yellow"/>
              </w:rPr>
            </w:pPr>
            <w:r w:rsidRPr="00381A26">
              <w:rPr>
                <w:color w:val="000000" w:themeColor="text1"/>
              </w:rPr>
              <w:t xml:space="preserve">The evidence gathered suggests there is a high demand in the NPA for semi-detached housing relative to supply (the number of sales of semi-detached dwellings as a proportion of all sales </w:t>
            </w:r>
            <w:proofErr w:type="gramStart"/>
            <w:r w:rsidRPr="00381A26">
              <w:rPr>
                <w:color w:val="000000" w:themeColor="text1"/>
              </w:rPr>
              <w:t>exceeds</w:t>
            </w:r>
            <w:proofErr w:type="gramEnd"/>
            <w:r w:rsidRPr="00381A26">
              <w:rPr>
                <w:color w:val="000000" w:themeColor="text1"/>
              </w:rPr>
              <w:t xml:space="preserve"> the proportion they represent of the housing stock). This ‘high demand’ scenario justifies one up arrow.</w:t>
            </w:r>
          </w:p>
        </w:tc>
      </w:tr>
      <w:tr w:rsidR="005F5CF8" w:rsidRPr="008042E5"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 xml:space="preserve">Migration </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1F4E29" w:rsidRDefault="00B25544" w:rsidP="009144D7">
            <w:pPr>
              <w:pStyle w:val="BodyText"/>
            </w:pPr>
            <w:r>
              <w:rPr>
                <w:rFonts w:asciiTheme="majorHAnsi" w:hAnsiTheme="majorHAnsi" w:cstheme="majorHAnsi"/>
                <w:szCs w:val="24"/>
              </w:rPr>
              <w:t>Census data 2001/</w:t>
            </w:r>
            <w:r w:rsidR="005F5CF8" w:rsidRPr="001F4E29">
              <w:rPr>
                <w:rFonts w:asciiTheme="majorHAnsi" w:hAnsiTheme="majorHAnsi" w:cstheme="majorHAnsi"/>
                <w:szCs w:val="24"/>
              </w:rPr>
              <w:t>2011</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C8146C" w:rsidRDefault="005F5CF8" w:rsidP="009144D7">
            <w:pPr>
              <w:pStyle w:val="BodyText"/>
              <w:rPr>
                <w:rFonts w:cstheme="minorHAnsi"/>
                <w:highlight w:val="yellow"/>
              </w:rPr>
            </w:pPr>
            <w:r w:rsidRPr="00AA3389">
              <w:rPr>
                <w:rFonts w:cstheme="minorHAnsi"/>
                <w:szCs w:val="24"/>
              </w:rPr>
              <w:t>Migration is not seen as</w:t>
            </w:r>
            <w:r>
              <w:rPr>
                <w:rFonts w:cstheme="minorHAnsi"/>
                <w:szCs w:val="24"/>
              </w:rPr>
              <w:t xml:space="preserve"> a</w:t>
            </w:r>
            <w:r w:rsidRPr="00AA3389">
              <w:rPr>
                <w:rFonts w:cstheme="minorHAnsi"/>
                <w:szCs w:val="24"/>
              </w:rPr>
              <w:t xml:space="preserve"> significant factor in determining housing need given that just 22% of the 6.1% of West Wittering residents born outside of the UK arrived in the last 10 years. </w:t>
            </w:r>
          </w:p>
        </w:tc>
      </w:tr>
      <w:tr w:rsidR="005F5CF8" w:rsidRPr="008042E5"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 xml:space="preserve">Overcrowding and concealment </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1F4E29" w:rsidRDefault="005F5CF8" w:rsidP="009144D7">
            <w:pPr>
              <w:pStyle w:val="BodyText"/>
            </w:pPr>
            <w:r w:rsidRPr="001F4E29">
              <w:rPr>
                <w:rFonts w:asciiTheme="majorHAnsi" w:hAnsiTheme="majorHAnsi" w:cstheme="majorHAnsi"/>
                <w:szCs w:val="24"/>
              </w:rPr>
              <w:t>Census Data 2</w:t>
            </w:r>
            <w:r w:rsidR="00B25544">
              <w:rPr>
                <w:rFonts w:asciiTheme="majorHAnsi" w:hAnsiTheme="majorHAnsi" w:cstheme="majorHAnsi"/>
                <w:szCs w:val="24"/>
              </w:rPr>
              <w:t>001/</w:t>
            </w:r>
            <w:r w:rsidRPr="001F4E29">
              <w:rPr>
                <w:rFonts w:asciiTheme="majorHAnsi" w:hAnsiTheme="majorHAnsi" w:cstheme="majorHAnsi"/>
                <w:szCs w:val="24"/>
              </w:rPr>
              <w:t>2011</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C8146C" w:rsidRDefault="005F5CF8" w:rsidP="009144D7">
            <w:pPr>
              <w:pStyle w:val="BodyText"/>
              <w:rPr>
                <w:rFonts w:cstheme="minorHAnsi"/>
                <w:highlight w:val="yellow"/>
              </w:rPr>
            </w:pPr>
            <w:r w:rsidRPr="00F02B4F">
              <w:rPr>
                <w:rFonts w:cstheme="minorHAnsi"/>
                <w:szCs w:val="24"/>
              </w:rPr>
              <w:t xml:space="preserve">There is no evidence of overcrowding in West Wittering and although there is some evidence of concealed families, these are not deemed particularly significant given the levels seen in Chichester </w:t>
            </w:r>
            <w:r>
              <w:rPr>
                <w:rFonts w:cstheme="minorHAnsi"/>
                <w:szCs w:val="24"/>
              </w:rPr>
              <w:t>District</w:t>
            </w:r>
            <w:r w:rsidRPr="00F02B4F">
              <w:rPr>
                <w:rFonts w:cstheme="minorHAnsi"/>
                <w:szCs w:val="24"/>
              </w:rPr>
              <w:t xml:space="preserve"> as a whole. </w:t>
            </w:r>
          </w:p>
        </w:tc>
      </w:tr>
      <w:tr w:rsidR="005F5CF8" w:rsidRPr="008042E5"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8042E5" w:rsidRDefault="005F5CF8" w:rsidP="009144D7">
            <w:pPr>
              <w:pStyle w:val="BodyText"/>
              <w:rPr>
                <w:b/>
                <w:bCs/>
                <w:highlight w:val="yellow"/>
              </w:rPr>
            </w:pPr>
            <w:r w:rsidRPr="00C54D45">
              <w:rPr>
                <w:rFonts w:asciiTheme="majorHAnsi" w:hAnsiTheme="majorHAnsi" w:cstheme="majorHAnsi"/>
                <w:b/>
                <w:szCs w:val="24"/>
              </w:rPr>
              <w:t>Rate of development</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635315" w:rsidRDefault="005F5CF8" w:rsidP="009144D7">
            <w:pPr>
              <w:pStyle w:val="BodyText"/>
              <w:rPr>
                <w:bCs/>
                <w:highlight w:val="yellow"/>
              </w:rPr>
            </w:pPr>
            <w:r w:rsidRPr="001F4E29">
              <w:t xml:space="preserve">Chichester </w:t>
            </w:r>
            <w:r>
              <w:t>District</w:t>
            </w:r>
            <w:r w:rsidRPr="001F4E29">
              <w:t xml:space="preserve"> Council Authority’s Monitoring Report 2015-2016</w:t>
            </w:r>
            <w:r w:rsidRPr="001F4E29">
              <w:rPr>
                <w:rFonts w:asciiTheme="majorHAnsi" w:hAnsiTheme="majorHAnsi" w:cstheme="majorHAnsi"/>
                <w:szCs w:val="24"/>
              </w:rPr>
              <w:t>, SHMA</w:t>
            </w:r>
          </w:p>
        </w:tc>
        <w:tc>
          <w:tcPr>
            <w:tcW w:w="1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F5CF8" w:rsidRPr="008042E5" w:rsidRDefault="005F5CF8" w:rsidP="009144D7">
            <w:pPr>
              <w:pStyle w:val="BodyText"/>
              <w:jc w:val="center"/>
              <w:rPr>
                <w:bCs/>
                <w:highlight w:val="yellow"/>
              </w:rPr>
            </w:pPr>
            <w:r w:rsidRPr="00C54D45">
              <w:rPr>
                <w:rFonts w:asciiTheme="majorHAnsi" w:eastAsia="Times New Roman" w:hAnsiTheme="majorHAnsi" w:cstheme="majorHAnsi"/>
                <w:kern w:val="0"/>
                <w:sz w:val="96"/>
                <w:szCs w:val="96"/>
              </w:rPr>
              <w:sym w:font="Symbol" w:char="F0AB"/>
            </w:r>
          </w:p>
        </w:tc>
        <w:tc>
          <w:tcPr>
            <w:tcW w:w="45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F5CF8" w:rsidRPr="00C8146C" w:rsidRDefault="005F5CF8" w:rsidP="009144D7">
            <w:pPr>
              <w:pStyle w:val="BodyText"/>
              <w:rPr>
                <w:rFonts w:cstheme="minorHAnsi"/>
                <w:highlight w:val="yellow"/>
                <w:lang w:val="en-US"/>
              </w:rPr>
            </w:pPr>
            <w:r>
              <w:rPr>
                <w:rFonts w:cstheme="minorHAnsi"/>
                <w:szCs w:val="24"/>
              </w:rPr>
              <w:t xml:space="preserve">Chichester District has consistently met, or exceeded its housing target in recent years. Furthermore, </w:t>
            </w:r>
            <w:r>
              <w:t>the</w:t>
            </w:r>
            <w:r w:rsidRPr="00604333">
              <w:rPr>
                <w:rFonts w:cstheme="minorHAnsi"/>
                <w:szCs w:val="24"/>
              </w:rPr>
              <w:t xml:space="preserve"> rate of development </w:t>
            </w:r>
            <w:r>
              <w:rPr>
                <w:rFonts w:cstheme="minorHAnsi"/>
                <w:szCs w:val="24"/>
              </w:rPr>
              <w:t xml:space="preserve">in West </w:t>
            </w:r>
            <w:r w:rsidRPr="00444DB9">
              <w:rPr>
                <w:rFonts w:cstheme="minorHAnsi"/>
                <w:szCs w:val="24"/>
              </w:rPr>
              <w:t>Wittering shows that actual supply is in line with planned supply. Therefore it is reasonable to suggest that the rate of development indicates there is only a small potential for future under</w:t>
            </w:r>
            <w:r>
              <w:rPr>
                <w:rFonts w:cstheme="minorHAnsi"/>
                <w:szCs w:val="24"/>
              </w:rPr>
              <w:t>-</w:t>
            </w:r>
            <w:r w:rsidRPr="00444DB9">
              <w:rPr>
                <w:rFonts w:cstheme="minorHAnsi"/>
                <w:szCs w:val="24"/>
              </w:rPr>
              <w:t>delivery and</w:t>
            </w:r>
            <w:r>
              <w:rPr>
                <w:rFonts w:cstheme="minorHAnsi"/>
                <w:szCs w:val="24"/>
              </w:rPr>
              <w:t>,</w:t>
            </w:r>
            <w:r w:rsidRPr="00444DB9">
              <w:rPr>
                <w:rFonts w:cstheme="minorHAnsi"/>
                <w:szCs w:val="24"/>
              </w:rPr>
              <w:t xml:space="preserve"> as such</w:t>
            </w:r>
            <w:r>
              <w:rPr>
                <w:rFonts w:cstheme="minorHAnsi"/>
                <w:szCs w:val="24"/>
              </w:rPr>
              <w:t xml:space="preserve">, a neutral arrow </w:t>
            </w:r>
            <w:r>
              <w:rPr>
                <w:rFonts w:cstheme="minorHAnsi"/>
                <w:szCs w:val="24"/>
              </w:rPr>
              <w:lastRenderedPageBreak/>
              <w:t xml:space="preserve">is considered appropriate. </w:t>
            </w:r>
          </w:p>
        </w:tc>
      </w:tr>
    </w:tbl>
    <w:p w:rsidR="005F5CF8" w:rsidRDefault="005F5CF8" w:rsidP="005F5CF8">
      <w:pPr>
        <w:pStyle w:val="BodyText"/>
        <w:rPr>
          <w:highlight w:val="yellow"/>
        </w:rPr>
      </w:pPr>
    </w:p>
    <w:p w:rsidR="00435EAC" w:rsidRDefault="00435EAC" w:rsidP="00435EAC">
      <w:pPr>
        <w:pStyle w:val="Caption"/>
      </w:pPr>
    </w:p>
    <w:p w:rsidR="00B25544" w:rsidRDefault="00B25544" w:rsidP="00B25544">
      <w:pPr>
        <w:pStyle w:val="Caption"/>
      </w:pPr>
      <w:r>
        <w:t xml:space="preserve">Table </w:t>
      </w:r>
      <w:r w:rsidR="008D2376">
        <w:fldChar w:fldCharType="begin"/>
      </w:r>
      <w:r w:rsidR="008D2376">
        <w:instrText xml:space="preserve"> SEQ Table \* ARABIC </w:instrText>
      </w:r>
      <w:r w:rsidR="008D2376">
        <w:fldChar w:fldCharType="separate"/>
      </w:r>
      <w:r>
        <w:rPr>
          <w:noProof/>
        </w:rPr>
        <w:t>32</w:t>
      </w:r>
      <w:r w:rsidR="008D2376">
        <w:rPr>
          <w:noProof/>
        </w:rPr>
        <w:fldChar w:fldCharType="end"/>
      </w:r>
      <w:r>
        <w:t xml:space="preserve">: </w:t>
      </w:r>
      <w:r w:rsidRPr="00027268">
        <w:t>Summary of local factors specific to West Wittering with a potential impact on neighbourhood plan housing characteristics</w:t>
      </w:r>
    </w:p>
    <w:tbl>
      <w:tblPr>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76"/>
        <w:gridCol w:w="1702"/>
        <w:gridCol w:w="3403"/>
        <w:gridCol w:w="3119"/>
      </w:tblGrid>
      <w:tr w:rsidR="00435EAC" w:rsidRPr="00B90B1C" w:rsidTr="009144D7">
        <w:trPr>
          <w:tblHeader/>
        </w:trPr>
        <w:tc>
          <w:tcPr>
            <w:tcW w:w="1676" w:type="dxa"/>
            <w:shd w:val="clear" w:color="auto" w:fill="000000" w:themeFill="text1"/>
            <w:hideMark/>
          </w:tcPr>
          <w:p w:rsidR="00435EAC" w:rsidRPr="00B90B1C" w:rsidRDefault="00435EAC" w:rsidP="009144D7">
            <w:pPr>
              <w:pStyle w:val="BodyText"/>
              <w:rPr>
                <w:bCs/>
              </w:rPr>
            </w:pPr>
            <w:r w:rsidRPr="00B90B1C">
              <w:rPr>
                <w:bCs/>
              </w:rPr>
              <w:t>Factor</w:t>
            </w:r>
          </w:p>
        </w:tc>
        <w:tc>
          <w:tcPr>
            <w:tcW w:w="1702" w:type="dxa"/>
            <w:shd w:val="clear" w:color="auto" w:fill="000000" w:themeFill="text1"/>
            <w:hideMark/>
          </w:tcPr>
          <w:p w:rsidR="00435EAC" w:rsidRPr="00B90B1C" w:rsidRDefault="00435EAC" w:rsidP="009144D7">
            <w:pPr>
              <w:pStyle w:val="BodyText"/>
              <w:rPr>
                <w:bCs/>
              </w:rPr>
            </w:pPr>
            <w:r>
              <w:rPr>
                <w:bCs/>
              </w:rPr>
              <w:t>Source(s) (see Chapter 3</w:t>
            </w:r>
            <w:r w:rsidRPr="00B90B1C">
              <w:rPr>
                <w:bCs/>
              </w:rPr>
              <w:t>)</w:t>
            </w:r>
          </w:p>
        </w:tc>
        <w:tc>
          <w:tcPr>
            <w:tcW w:w="3403" w:type="dxa"/>
            <w:shd w:val="clear" w:color="auto" w:fill="000000" w:themeFill="text1"/>
            <w:hideMark/>
          </w:tcPr>
          <w:p w:rsidR="00435EAC" w:rsidRPr="00B90B1C" w:rsidRDefault="00435EAC" w:rsidP="009144D7">
            <w:pPr>
              <w:pStyle w:val="BodyText"/>
              <w:rPr>
                <w:bCs/>
              </w:rPr>
            </w:pPr>
            <w:r w:rsidRPr="00B90B1C">
              <w:rPr>
                <w:bCs/>
              </w:rPr>
              <w:t>Possible impact on housing needed</w:t>
            </w:r>
          </w:p>
        </w:tc>
        <w:tc>
          <w:tcPr>
            <w:tcW w:w="3119" w:type="dxa"/>
            <w:shd w:val="clear" w:color="auto" w:fill="000000" w:themeFill="text1"/>
          </w:tcPr>
          <w:p w:rsidR="00435EAC" w:rsidRPr="00B90B1C" w:rsidRDefault="00435EAC" w:rsidP="009144D7">
            <w:pPr>
              <w:pStyle w:val="BodyText"/>
              <w:rPr>
                <w:bCs/>
              </w:rPr>
            </w:pPr>
            <w:r w:rsidRPr="00B90B1C">
              <w:rPr>
                <w:bCs/>
              </w:rPr>
              <w:t>Conclusion</w:t>
            </w:r>
          </w:p>
          <w:p w:rsidR="00435EAC" w:rsidRPr="00B90B1C" w:rsidRDefault="00435EAC" w:rsidP="009144D7">
            <w:pPr>
              <w:pStyle w:val="BodyText"/>
              <w:rPr>
                <w:bCs/>
              </w:rPr>
            </w:pPr>
          </w:p>
        </w:tc>
      </w:tr>
      <w:tr w:rsidR="00435EAC" w:rsidRPr="00B90B1C"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t>Affordable Housing</w:t>
            </w:r>
            <w:r>
              <w:rPr>
                <w:b/>
                <w:bCs/>
              </w:rPr>
              <w:t xml:space="preserve"> (AH)</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pPr>
            <w:r>
              <w:t xml:space="preserve">Land Registry price paid data, </w:t>
            </w:r>
            <w:r w:rsidRPr="00BA1D3D">
              <w:t>CWSS12</w:t>
            </w:r>
            <w:r>
              <w:t xml:space="preserve">, </w:t>
            </w:r>
            <w:r w:rsidRPr="00212B9F">
              <w:t>AHDNS14</w:t>
            </w:r>
            <w:r>
              <w:t>, Local Agents survey</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color w:val="000000" w:themeColor="text1"/>
              </w:rPr>
            </w:pPr>
            <w:r w:rsidRPr="004277B5">
              <w:rPr>
                <w:color w:val="000000" w:themeColor="text1"/>
              </w:rPr>
              <w:t xml:space="preserve">According to data presented in CWSS12, 70% of all households in Chichester South </w:t>
            </w:r>
            <w:r>
              <w:rPr>
                <w:color w:val="000000" w:themeColor="text1"/>
              </w:rPr>
              <w:t xml:space="preserve"> (a sub-area of the HMA in which West Wittering is located) </w:t>
            </w:r>
            <w:r w:rsidRPr="004277B5">
              <w:rPr>
                <w:color w:val="000000" w:themeColor="text1"/>
              </w:rPr>
              <w:t>can access private rented housing, and 50% are able to buy an entry-level (two bedroom) dwelling priced at £160,000</w:t>
            </w:r>
            <w:r>
              <w:rPr>
                <w:color w:val="000000" w:themeColor="text1"/>
              </w:rPr>
              <w:t>.</w:t>
            </w:r>
          </w:p>
          <w:p w:rsidR="00435EAC" w:rsidRPr="004277B5" w:rsidRDefault="00435EAC" w:rsidP="009144D7">
            <w:pPr>
              <w:pStyle w:val="BodyText"/>
              <w:rPr>
                <w:color w:val="000000" w:themeColor="text1"/>
              </w:rPr>
            </w:pPr>
            <w:r w:rsidRPr="004277B5">
              <w:rPr>
                <w:color w:val="000000" w:themeColor="text1"/>
              </w:rPr>
              <w:t xml:space="preserve">Local agents reported at the end of 2017 that prices for entry level dwellings </w:t>
            </w:r>
            <w:r>
              <w:rPr>
                <w:color w:val="000000" w:themeColor="text1"/>
              </w:rPr>
              <w:t xml:space="preserve">(two </w:t>
            </w:r>
            <w:proofErr w:type="gramStart"/>
            <w:r>
              <w:rPr>
                <w:color w:val="000000" w:themeColor="text1"/>
              </w:rPr>
              <w:t>bedroom</w:t>
            </w:r>
            <w:proofErr w:type="gramEnd"/>
            <w:r>
              <w:rPr>
                <w:color w:val="000000" w:themeColor="text1"/>
              </w:rPr>
              <w:t xml:space="preserve">) </w:t>
            </w:r>
            <w:r w:rsidRPr="004277B5">
              <w:rPr>
                <w:color w:val="000000" w:themeColor="text1"/>
              </w:rPr>
              <w:t>may be substantially greater than those reported in the CWSS12, and m</w:t>
            </w:r>
            <w:r>
              <w:rPr>
                <w:color w:val="000000" w:themeColor="text1"/>
              </w:rPr>
              <w:t>ay have reached around £280,000.</w:t>
            </w:r>
          </w:p>
          <w:p w:rsidR="00435EAC" w:rsidRPr="004277B5" w:rsidRDefault="00435EAC" w:rsidP="009144D7">
            <w:pPr>
              <w:pStyle w:val="BodyText"/>
              <w:rPr>
                <w:bCs/>
                <w:iCs/>
                <w:color w:val="000000" w:themeColor="text1"/>
                <w:lang w:val="en-US"/>
              </w:rPr>
            </w:pPr>
            <w:r>
              <w:rPr>
                <w:bCs/>
                <w:iCs/>
                <w:color w:val="000000" w:themeColor="text1"/>
                <w:lang w:val="en-US"/>
              </w:rPr>
              <w:t>A Median Affordability R</w:t>
            </w:r>
            <w:r w:rsidRPr="004277B5">
              <w:rPr>
                <w:bCs/>
                <w:iCs/>
                <w:color w:val="000000" w:themeColor="text1"/>
                <w:lang w:val="en-US"/>
              </w:rPr>
              <w:t xml:space="preserve">atio (MAR) of 3.9 is recorded for </w:t>
            </w:r>
            <w:proofErr w:type="spellStart"/>
            <w:r w:rsidRPr="004277B5">
              <w:rPr>
                <w:bCs/>
                <w:iCs/>
                <w:color w:val="000000" w:themeColor="text1"/>
                <w:lang w:val="en-US"/>
              </w:rPr>
              <w:t>Chichester</w:t>
            </w:r>
            <w:proofErr w:type="spellEnd"/>
            <w:r w:rsidRPr="004277B5">
              <w:rPr>
                <w:bCs/>
                <w:iCs/>
                <w:color w:val="000000" w:themeColor="text1"/>
                <w:lang w:val="en-US"/>
              </w:rPr>
              <w:t xml:space="preserve"> South</w:t>
            </w:r>
            <w:r>
              <w:rPr>
                <w:bCs/>
                <w:iCs/>
                <w:color w:val="000000" w:themeColor="text1"/>
                <w:lang w:val="en-US"/>
              </w:rPr>
              <w:t>.</w:t>
            </w:r>
          </w:p>
          <w:p w:rsidR="00435EAC" w:rsidRPr="004277B5" w:rsidRDefault="00435EAC" w:rsidP="009144D7">
            <w:pPr>
              <w:pStyle w:val="BodyText"/>
              <w:rPr>
                <w:bCs/>
                <w:iCs/>
                <w:color w:val="000000" w:themeColor="text1"/>
                <w:lang w:val="en-US"/>
              </w:rPr>
            </w:pPr>
            <w:r w:rsidRPr="004277B5">
              <w:rPr>
                <w:bCs/>
                <w:iCs/>
                <w:color w:val="000000" w:themeColor="text1"/>
                <w:lang w:val="en-US"/>
              </w:rPr>
              <w:t xml:space="preserve">The Lower Quartile Affordability Ratio (LQAR) for </w:t>
            </w:r>
            <w:proofErr w:type="spellStart"/>
            <w:r w:rsidRPr="004277B5">
              <w:rPr>
                <w:bCs/>
                <w:iCs/>
                <w:color w:val="000000" w:themeColor="text1"/>
                <w:lang w:val="en-US"/>
              </w:rPr>
              <w:t>Chi</w:t>
            </w:r>
            <w:r>
              <w:rPr>
                <w:bCs/>
                <w:iCs/>
                <w:color w:val="000000" w:themeColor="text1"/>
                <w:lang w:val="en-US"/>
              </w:rPr>
              <w:t>chester</w:t>
            </w:r>
            <w:proofErr w:type="spellEnd"/>
            <w:r>
              <w:rPr>
                <w:bCs/>
                <w:iCs/>
                <w:color w:val="000000" w:themeColor="text1"/>
                <w:lang w:val="en-US"/>
              </w:rPr>
              <w:t xml:space="preserve"> is reported to be 10.41.</w:t>
            </w:r>
          </w:p>
          <w:p w:rsidR="00435EAC" w:rsidRPr="004277B5" w:rsidRDefault="00435EAC" w:rsidP="009144D7">
            <w:pPr>
              <w:pStyle w:val="BodyText"/>
              <w:rPr>
                <w:color w:val="000000" w:themeColor="text1"/>
              </w:rPr>
            </w:pPr>
            <w:r w:rsidRPr="004277B5">
              <w:rPr>
                <w:bCs/>
                <w:iCs/>
                <w:color w:val="000000" w:themeColor="text1"/>
                <w:lang w:val="en-US"/>
              </w:rPr>
              <w:t xml:space="preserve">Between 2007 and 2016, house prices </w:t>
            </w:r>
            <w:r>
              <w:rPr>
                <w:bCs/>
                <w:iCs/>
                <w:color w:val="000000" w:themeColor="text1"/>
                <w:lang w:val="en-US"/>
              </w:rPr>
              <w:t>were</w:t>
            </w:r>
            <w:r w:rsidRPr="004277B5">
              <w:rPr>
                <w:bCs/>
                <w:iCs/>
                <w:color w:val="000000" w:themeColor="text1"/>
                <w:lang w:val="en-US"/>
              </w:rPr>
              <w:t xml:space="preserve"> reported to have increased by 18% in West </w:t>
            </w:r>
            <w:proofErr w:type="spellStart"/>
            <w:r w:rsidRPr="004277B5">
              <w:rPr>
                <w:bCs/>
                <w:iCs/>
                <w:color w:val="000000" w:themeColor="text1"/>
                <w:lang w:val="en-US"/>
              </w:rPr>
              <w:t>Wittering</w:t>
            </w:r>
            <w:proofErr w:type="spellEnd"/>
            <w:r w:rsidRPr="004277B5">
              <w:rPr>
                <w:bCs/>
                <w:iCs/>
                <w:color w:val="000000" w:themeColor="text1"/>
                <w:lang w:val="en-US"/>
              </w:rPr>
              <w:t>.</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ListNumber"/>
              <w:numPr>
                <w:ilvl w:val="0"/>
                <w:numId w:val="0"/>
              </w:numPr>
              <w:rPr>
                <w:bCs/>
                <w:iCs/>
                <w:color w:val="000000" w:themeColor="text1"/>
                <w:lang w:val="en-US"/>
              </w:rPr>
            </w:pPr>
            <w:r w:rsidRPr="004277B5">
              <w:rPr>
                <w:bCs/>
                <w:iCs/>
                <w:color w:val="000000" w:themeColor="text1"/>
                <w:lang w:val="en-US"/>
              </w:rPr>
              <w:t xml:space="preserve">Based on evidence of need drawn from </w:t>
            </w:r>
            <w:proofErr w:type="spellStart"/>
            <w:r w:rsidRPr="004277B5">
              <w:rPr>
                <w:bCs/>
                <w:iCs/>
                <w:color w:val="000000" w:themeColor="text1"/>
                <w:lang w:val="en-US"/>
              </w:rPr>
              <w:t>Chichester’s</w:t>
            </w:r>
            <w:proofErr w:type="spellEnd"/>
            <w:r w:rsidRPr="004277B5">
              <w:rPr>
                <w:bCs/>
                <w:iCs/>
                <w:color w:val="000000" w:themeColor="text1"/>
                <w:lang w:val="en-US"/>
              </w:rPr>
              <w:t xml:space="preserve"> Housing Waiting List Register (that shows </w:t>
            </w:r>
            <w:r>
              <w:rPr>
                <w:bCs/>
                <w:iCs/>
                <w:color w:val="000000" w:themeColor="text1"/>
                <w:lang w:val="en-US"/>
              </w:rPr>
              <w:t>nine</w:t>
            </w:r>
            <w:r w:rsidRPr="004277B5">
              <w:rPr>
                <w:bCs/>
                <w:iCs/>
                <w:color w:val="000000" w:themeColor="text1"/>
                <w:lang w:val="en-US"/>
              </w:rPr>
              <w:t xml:space="preserve"> households expressing an interest in occu</w:t>
            </w:r>
            <w:r>
              <w:rPr>
                <w:bCs/>
                <w:iCs/>
                <w:color w:val="000000" w:themeColor="text1"/>
                <w:lang w:val="en-US"/>
              </w:rPr>
              <w:t xml:space="preserve">pying housing in West </w:t>
            </w:r>
            <w:proofErr w:type="spellStart"/>
            <w:r>
              <w:rPr>
                <w:bCs/>
                <w:iCs/>
                <w:color w:val="000000" w:themeColor="text1"/>
                <w:lang w:val="en-US"/>
              </w:rPr>
              <w:t>Wittering</w:t>
            </w:r>
            <w:proofErr w:type="spellEnd"/>
            <w:r>
              <w:rPr>
                <w:bCs/>
                <w:iCs/>
                <w:color w:val="000000" w:themeColor="text1"/>
                <w:lang w:val="en-US"/>
              </w:rPr>
              <w:t>),</w:t>
            </w:r>
            <w:r w:rsidRPr="004277B5">
              <w:rPr>
                <w:bCs/>
                <w:iCs/>
                <w:color w:val="000000" w:themeColor="text1"/>
                <w:lang w:val="en-US"/>
              </w:rPr>
              <w:t xml:space="preserve"> there is no basis on which to seek a different proportion of affordable housing from </w:t>
            </w:r>
            <w:r>
              <w:rPr>
                <w:bCs/>
                <w:iCs/>
                <w:color w:val="000000" w:themeColor="text1"/>
                <w:lang w:val="en-US"/>
              </w:rPr>
              <w:t xml:space="preserve">new residential </w:t>
            </w:r>
            <w:r w:rsidRPr="004277B5">
              <w:rPr>
                <w:bCs/>
                <w:iCs/>
                <w:color w:val="000000" w:themeColor="text1"/>
                <w:lang w:val="en-US"/>
              </w:rPr>
              <w:t xml:space="preserve">development </w:t>
            </w:r>
            <w:r>
              <w:rPr>
                <w:bCs/>
                <w:iCs/>
                <w:color w:val="000000" w:themeColor="text1"/>
                <w:lang w:val="en-US"/>
              </w:rPr>
              <w:t>coming forward over the Plan period than Policy 34 of CLP.</w:t>
            </w:r>
            <w:r w:rsidRPr="004277B5">
              <w:rPr>
                <w:bCs/>
                <w:iCs/>
                <w:color w:val="000000" w:themeColor="text1"/>
                <w:lang w:val="en-US"/>
              </w:rPr>
              <w:t xml:space="preserve"> </w:t>
            </w:r>
          </w:p>
          <w:p w:rsidR="00435EAC" w:rsidRPr="004277B5" w:rsidRDefault="00435EAC" w:rsidP="009144D7">
            <w:pPr>
              <w:pStyle w:val="ListNumber"/>
              <w:numPr>
                <w:ilvl w:val="0"/>
                <w:numId w:val="0"/>
              </w:numPr>
              <w:rPr>
                <w:bCs/>
                <w:iCs/>
                <w:color w:val="000000" w:themeColor="text1"/>
                <w:lang w:val="en-US"/>
              </w:rPr>
            </w:pPr>
            <w:r w:rsidRPr="004277B5">
              <w:rPr>
                <w:bCs/>
                <w:iCs/>
                <w:color w:val="000000" w:themeColor="text1"/>
                <w:lang w:val="en-US"/>
              </w:rPr>
              <w:t xml:space="preserve">However, given </w:t>
            </w:r>
            <w:r>
              <w:rPr>
                <w:bCs/>
                <w:iCs/>
                <w:color w:val="000000" w:themeColor="text1"/>
                <w:lang w:val="en-US"/>
              </w:rPr>
              <w:t xml:space="preserve">that </w:t>
            </w:r>
            <w:r w:rsidRPr="004277B5">
              <w:rPr>
                <w:bCs/>
                <w:iCs/>
                <w:color w:val="000000" w:themeColor="text1"/>
                <w:lang w:val="en-US"/>
              </w:rPr>
              <w:t xml:space="preserve">the waiting list may under-report need and the conclusions in this study relating to affordability of housing </w:t>
            </w:r>
            <w:r>
              <w:rPr>
                <w:bCs/>
                <w:iCs/>
                <w:color w:val="000000" w:themeColor="text1"/>
                <w:lang w:val="en-US"/>
              </w:rPr>
              <w:t xml:space="preserve">to those </w:t>
            </w:r>
            <w:r w:rsidRPr="004277B5">
              <w:rPr>
                <w:bCs/>
                <w:iCs/>
                <w:color w:val="000000" w:themeColor="text1"/>
                <w:lang w:val="en-US"/>
              </w:rPr>
              <w:t>on low incomes, WWPC should adopt an assertive attitude regard</w:t>
            </w:r>
            <w:r>
              <w:rPr>
                <w:bCs/>
                <w:iCs/>
                <w:color w:val="000000" w:themeColor="text1"/>
                <w:lang w:val="en-US"/>
              </w:rPr>
              <w:t>ing</w:t>
            </w:r>
            <w:r w:rsidRPr="004277B5">
              <w:rPr>
                <w:bCs/>
                <w:iCs/>
                <w:color w:val="000000" w:themeColor="text1"/>
                <w:lang w:val="en-US"/>
              </w:rPr>
              <w:t xml:space="preserve"> the </w:t>
            </w:r>
            <w:r>
              <w:rPr>
                <w:bCs/>
                <w:iCs/>
                <w:color w:val="000000" w:themeColor="text1"/>
                <w:lang w:val="en-US"/>
              </w:rPr>
              <w:t>delivery of affordable housing.</w:t>
            </w:r>
            <w:r w:rsidRPr="004277B5">
              <w:rPr>
                <w:bCs/>
                <w:iCs/>
                <w:color w:val="000000" w:themeColor="text1"/>
                <w:lang w:val="en-US"/>
              </w:rPr>
              <w:t xml:space="preserve"> </w:t>
            </w:r>
          </w:p>
          <w:p w:rsidR="00435EAC" w:rsidRPr="004277B5" w:rsidRDefault="00435EAC" w:rsidP="009144D7">
            <w:pPr>
              <w:pStyle w:val="BodyText"/>
              <w:rPr>
                <w:color w:val="000000" w:themeColor="text1"/>
              </w:rPr>
            </w:pPr>
            <w:r w:rsidRPr="004277B5">
              <w:rPr>
                <w:color w:val="000000" w:themeColor="text1"/>
              </w:rPr>
              <w:t>The high LQAR suggests those households on the lowest incomes will struggle to access housing of a suitable size; it is therefore appropriate that the majority of AH fal</w:t>
            </w:r>
            <w:r>
              <w:rPr>
                <w:color w:val="000000" w:themeColor="text1"/>
              </w:rPr>
              <w:t>l into the ‘social rented’ category.</w:t>
            </w:r>
            <w:r w:rsidRPr="004277B5">
              <w:rPr>
                <w:color w:val="000000" w:themeColor="text1"/>
              </w:rPr>
              <w:t xml:space="preserve"> </w:t>
            </w:r>
          </w:p>
          <w:p w:rsidR="00435EAC" w:rsidRPr="004277B5" w:rsidRDefault="00435EAC" w:rsidP="009144D7">
            <w:pPr>
              <w:pStyle w:val="BodyText"/>
              <w:rPr>
                <w:color w:val="000000" w:themeColor="text1"/>
              </w:rPr>
            </w:pPr>
            <w:r w:rsidRPr="004277B5">
              <w:rPr>
                <w:color w:val="000000" w:themeColor="text1"/>
              </w:rPr>
              <w:t>Given the relatively high cost of housing in West Wittering (based on estate agent feedback) we do not see a role for Discounted for Sale Dwellings (for example starter homes) given that, once the 20% discount has been taken into account, prices are likely to remain beyond the reach of first time buyer</w:t>
            </w:r>
            <w:r>
              <w:rPr>
                <w:color w:val="000000" w:themeColor="text1"/>
              </w:rPr>
              <w:t>s.</w:t>
            </w:r>
            <w:r w:rsidRPr="004277B5">
              <w:rPr>
                <w:color w:val="000000" w:themeColor="text1"/>
              </w:rPr>
              <w:t xml:space="preserve"> </w:t>
            </w:r>
          </w:p>
          <w:p w:rsidR="00435EAC" w:rsidRPr="004277B5" w:rsidRDefault="00435EAC" w:rsidP="009144D7">
            <w:pPr>
              <w:pStyle w:val="BodyText"/>
              <w:rPr>
                <w:color w:val="000000" w:themeColor="text1"/>
              </w:rPr>
            </w:pPr>
            <w:r w:rsidRPr="004277B5">
              <w:rPr>
                <w:color w:val="000000" w:themeColor="text1"/>
              </w:rPr>
              <w:t>Notwithstanding</w:t>
            </w:r>
            <w:r>
              <w:rPr>
                <w:color w:val="000000" w:themeColor="text1"/>
              </w:rPr>
              <w:t xml:space="preserve"> this</w:t>
            </w:r>
            <w:r w:rsidRPr="004277B5">
              <w:rPr>
                <w:color w:val="000000" w:themeColor="text1"/>
              </w:rPr>
              <w:t>, we do see a role for other forms of i</w:t>
            </w:r>
            <w:r>
              <w:rPr>
                <w:color w:val="000000" w:themeColor="text1"/>
              </w:rPr>
              <w:t>ntermediate housing, for example</w:t>
            </w:r>
            <w:r w:rsidRPr="004277B5">
              <w:rPr>
                <w:color w:val="000000" w:themeColor="text1"/>
              </w:rPr>
              <w:t xml:space="preserve"> share</w:t>
            </w:r>
            <w:r>
              <w:rPr>
                <w:color w:val="000000" w:themeColor="text1"/>
              </w:rPr>
              <w:t>d equity dwellings.</w:t>
            </w:r>
          </w:p>
        </w:tc>
      </w:tr>
      <w:tr w:rsidR="00435EAC" w:rsidRPr="00B90B1C" w:rsidTr="009144D7">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t xml:space="preserve">Demand/need for smaller </w:t>
            </w:r>
            <w:r w:rsidRPr="00B90B1C">
              <w:rPr>
                <w:b/>
                <w:bCs/>
              </w:rPr>
              <w:lastRenderedPageBreak/>
              <w:t>dwellings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pPr>
            <w:r>
              <w:lastRenderedPageBreak/>
              <w:t>Census</w:t>
            </w:r>
            <w:r w:rsidR="00B25544">
              <w:t xml:space="preserve"> 2001/2011</w:t>
            </w:r>
            <w:r>
              <w:t xml:space="preserve">, </w:t>
            </w:r>
            <w:r>
              <w:lastRenderedPageBreak/>
              <w:t>CWSS12</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Default="00435EAC" w:rsidP="009144D7">
            <w:pPr>
              <w:pStyle w:val="BodyText"/>
              <w:rPr>
                <w:bCs/>
                <w:iCs/>
                <w:color w:val="000000" w:themeColor="text1"/>
                <w:lang w:val="en-US"/>
              </w:rPr>
            </w:pPr>
            <w:r w:rsidRPr="004277B5">
              <w:rPr>
                <w:bCs/>
                <w:iCs/>
                <w:color w:val="000000" w:themeColor="text1"/>
                <w:lang w:val="en-US"/>
              </w:rPr>
              <w:lastRenderedPageBreak/>
              <w:t xml:space="preserve">Census data shows a high proportion of the population living alone (37.5%) compared with the </w:t>
            </w:r>
            <w:r>
              <w:rPr>
                <w:bCs/>
                <w:iCs/>
                <w:color w:val="000000" w:themeColor="text1"/>
                <w:lang w:val="en-US"/>
              </w:rPr>
              <w:t>District</w:t>
            </w:r>
            <w:r w:rsidRPr="004277B5">
              <w:rPr>
                <w:bCs/>
                <w:iCs/>
                <w:color w:val="000000" w:themeColor="text1"/>
                <w:lang w:val="en-US"/>
              </w:rPr>
              <w:t xml:space="preserve"> </w:t>
            </w:r>
            <w:r>
              <w:rPr>
                <w:bCs/>
                <w:iCs/>
                <w:color w:val="000000" w:themeColor="text1"/>
                <w:lang w:val="en-US"/>
              </w:rPr>
              <w:t xml:space="preserve">as a whole </w:t>
            </w:r>
            <w:r w:rsidRPr="004277B5">
              <w:rPr>
                <w:bCs/>
                <w:iCs/>
                <w:color w:val="000000" w:themeColor="text1"/>
                <w:lang w:val="en-US"/>
              </w:rPr>
              <w:lastRenderedPageBreak/>
              <w:t>(32%); this group has grown substantially over the inter-censual period, recording an increase of 59 households over the period, the majority of whom were under 65</w:t>
            </w:r>
            <w:r>
              <w:rPr>
                <w:bCs/>
                <w:iCs/>
                <w:color w:val="000000" w:themeColor="text1"/>
                <w:lang w:val="en-US"/>
              </w:rPr>
              <w:t xml:space="preserve">. </w:t>
            </w:r>
          </w:p>
          <w:p w:rsidR="00435EAC" w:rsidRDefault="00435EAC" w:rsidP="009144D7">
            <w:pPr>
              <w:pStyle w:val="BodyText"/>
              <w:rPr>
                <w:color w:val="000000" w:themeColor="text1"/>
              </w:rPr>
            </w:pPr>
            <w:r>
              <w:rPr>
                <w:color w:val="000000" w:themeColor="text1"/>
              </w:rPr>
              <w:t>4% of households occupy dwellings of 1-3 habitable rooms.</w:t>
            </w:r>
          </w:p>
          <w:p w:rsidR="00435EAC" w:rsidRDefault="00435EAC" w:rsidP="009144D7">
            <w:pPr>
              <w:pStyle w:val="BodyText"/>
              <w:rPr>
                <w:color w:val="000000" w:themeColor="text1"/>
              </w:rPr>
            </w:pPr>
            <w:r w:rsidRPr="00670A38">
              <w:rPr>
                <w:color w:val="000000" w:themeColor="text1"/>
              </w:rPr>
              <w:t>In Chichester South, the CWSS12 suggests roughly a third of all new residential development for the open market should be of 1-3 habitable rooms in size</w:t>
            </w:r>
            <w:r>
              <w:rPr>
                <w:color w:val="000000" w:themeColor="text1"/>
              </w:rPr>
              <w:t xml:space="preserve">. </w:t>
            </w:r>
          </w:p>
          <w:p w:rsidR="00435EAC" w:rsidRPr="004277B5" w:rsidRDefault="00435EAC" w:rsidP="009144D7">
            <w:pPr>
              <w:pStyle w:val="BodyText"/>
              <w:rPr>
                <w:color w:val="000000" w:themeColor="text1"/>
              </w:rPr>
            </w:pPr>
            <w:r w:rsidRPr="00670A38">
              <w:rPr>
                <w:color w:val="000000" w:themeColor="text1"/>
              </w:rPr>
              <w:t>For affordable homes, the CWSS12 suggests a larger proportion should be concentrated at the smaller end of the scale</w:t>
            </w:r>
            <w:r>
              <w:rPr>
                <w:color w:val="000000" w:themeColor="text1"/>
              </w:rPr>
              <w:t xml:space="preserve"> than for open market dwellings</w:t>
            </w:r>
            <w:r w:rsidRPr="00670A38">
              <w:rPr>
                <w:color w:val="000000" w:themeColor="text1"/>
              </w:rPr>
              <w:t xml:space="preserve">, with 66.8% of all new AH dwellings being 1-3 habitable rooms in size. </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Default="00435EAC" w:rsidP="009144D7">
            <w:pPr>
              <w:pStyle w:val="BodyText"/>
              <w:rPr>
                <w:color w:val="000000" w:themeColor="text1"/>
              </w:rPr>
            </w:pPr>
            <w:r>
              <w:rPr>
                <w:color w:val="000000" w:themeColor="text1"/>
              </w:rPr>
              <w:lastRenderedPageBreak/>
              <w:t xml:space="preserve">The low proportion of households living in small dwellings </w:t>
            </w:r>
            <w:r w:rsidRPr="00670A38">
              <w:rPr>
                <w:color w:val="000000" w:themeColor="text1"/>
              </w:rPr>
              <w:t xml:space="preserve">must lead us to query whether the housing </w:t>
            </w:r>
            <w:r w:rsidRPr="00670A38">
              <w:rPr>
                <w:color w:val="000000" w:themeColor="text1"/>
              </w:rPr>
              <w:lastRenderedPageBreak/>
              <w:t>stock is suited to community need given</w:t>
            </w:r>
            <w:r>
              <w:rPr>
                <w:color w:val="000000" w:themeColor="text1"/>
              </w:rPr>
              <w:t>, firstly,</w:t>
            </w:r>
            <w:r w:rsidRPr="00670A38">
              <w:rPr>
                <w:color w:val="000000" w:themeColor="text1"/>
              </w:rPr>
              <w:t xml:space="preserve"> the changes that have been observed over the inter-censual period, in particular the </w:t>
            </w:r>
            <w:r>
              <w:rPr>
                <w:color w:val="000000" w:themeColor="text1"/>
              </w:rPr>
              <w:t xml:space="preserve">growth in one person households and, secondly, the affordability issues faced by those on lower incomes. </w:t>
            </w:r>
          </w:p>
          <w:p w:rsidR="00435EAC" w:rsidRPr="004277B5" w:rsidRDefault="00435EAC" w:rsidP="009144D7">
            <w:pPr>
              <w:pStyle w:val="BodyText"/>
              <w:rPr>
                <w:color w:val="000000" w:themeColor="text1"/>
              </w:rPr>
            </w:pPr>
            <w:r>
              <w:rPr>
                <w:color w:val="000000" w:themeColor="text1"/>
              </w:rPr>
              <w:t xml:space="preserve">Evidence from the CWSS12 provides clear support for smaller dwellings, and may be used as the justification for developing policy in this direction. </w:t>
            </w:r>
          </w:p>
        </w:tc>
      </w:tr>
      <w:tr w:rsidR="00435EAC" w:rsidRPr="00B90B1C"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lastRenderedPageBreak/>
              <w:t>Demographic change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pPr>
            <w:r>
              <w:t>Census</w:t>
            </w:r>
            <w:r w:rsidR="00B25544">
              <w:t xml:space="preserve"> 2001/2011</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bCs/>
                <w:iCs/>
                <w:color w:val="000000" w:themeColor="text1"/>
                <w:lang w:val="en-US"/>
              </w:rPr>
            </w:pPr>
            <w:r w:rsidRPr="004277B5">
              <w:rPr>
                <w:bCs/>
                <w:iCs/>
                <w:color w:val="000000" w:themeColor="text1"/>
                <w:lang w:val="en-US"/>
              </w:rPr>
              <w:t>The 2011 Census identified an under-representation of those aged under 44</w:t>
            </w:r>
            <w:r>
              <w:rPr>
                <w:bCs/>
                <w:iCs/>
                <w:color w:val="000000" w:themeColor="text1"/>
                <w:lang w:val="en-US"/>
              </w:rPr>
              <w:t xml:space="preserve"> in the NPA</w:t>
            </w:r>
            <w:r w:rsidRPr="004277B5">
              <w:rPr>
                <w:bCs/>
                <w:iCs/>
                <w:color w:val="000000" w:themeColor="text1"/>
                <w:lang w:val="en-US"/>
              </w:rPr>
              <w:t xml:space="preserve">, with large disparities with </w:t>
            </w:r>
            <w:r>
              <w:rPr>
                <w:bCs/>
                <w:iCs/>
                <w:color w:val="000000" w:themeColor="text1"/>
                <w:lang w:val="en-US"/>
              </w:rPr>
              <w:t>District</w:t>
            </w:r>
            <w:r w:rsidRPr="004277B5">
              <w:rPr>
                <w:bCs/>
                <w:iCs/>
                <w:color w:val="000000" w:themeColor="text1"/>
                <w:lang w:val="en-US"/>
              </w:rPr>
              <w:t xml:space="preserve"> and national geographies</w:t>
            </w:r>
            <w:r>
              <w:rPr>
                <w:bCs/>
                <w:iCs/>
                <w:color w:val="000000" w:themeColor="text1"/>
                <w:lang w:val="en-US"/>
              </w:rPr>
              <w:t>.</w:t>
            </w:r>
          </w:p>
          <w:p w:rsidR="00435EAC" w:rsidRPr="004277B5" w:rsidRDefault="00435EAC" w:rsidP="009144D7">
            <w:pPr>
              <w:pStyle w:val="BodyText"/>
              <w:rPr>
                <w:bCs/>
                <w:iCs/>
                <w:color w:val="000000" w:themeColor="text1"/>
                <w:lang w:val="en-US"/>
              </w:rPr>
            </w:pPr>
            <w:r w:rsidRPr="004277B5">
              <w:rPr>
                <w:bCs/>
                <w:iCs/>
                <w:color w:val="000000" w:themeColor="text1"/>
                <w:lang w:val="en-US"/>
              </w:rPr>
              <w:t xml:space="preserve">Over the inter-censual period, the representation of families declined, with the largest fall </w:t>
            </w:r>
            <w:r>
              <w:rPr>
                <w:bCs/>
                <w:iCs/>
                <w:color w:val="000000" w:themeColor="text1"/>
                <w:lang w:val="en-US"/>
              </w:rPr>
              <w:t xml:space="preserve">being </w:t>
            </w:r>
            <w:r w:rsidRPr="004277B5">
              <w:rPr>
                <w:bCs/>
                <w:iCs/>
                <w:color w:val="000000" w:themeColor="text1"/>
                <w:lang w:val="en-US"/>
              </w:rPr>
              <w:t>those with dependent children (10.2%)</w:t>
            </w:r>
            <w:r>
              <w:rPr>
                <w:bCs/>
                <w:iCs/>
                <w:color w:val="000000" w:themeColor="text1"/>
                <w:lang w:val="en-US"/>
              </w:rPr>
              <w:t>.</w:t>
            </w:r>
          </w:p>
          <w:p w:rsidR="00435EAC" w:rsidRPr="004277B5" w:rsidRDefault="00435EAC" w:rsidP="009144D7">
            <w:pPr>
              <w:pStyle w:val="BodyText"/>
              <w:rPr>
                <w:bCs/>
                <w:iCs/>
                <w:color w:val="000000" w:themeColor="text1"/>
                <w:lang w:val="en-US"/>
              </w:rPr>
            </w:pPr>
            <w:r w:rsidRPr="004277B5">
              <w:rPr>
                <w:bCs/>
                <w:iCs/>
                <w:color w:val="000000" w:themeColor="text1"/>
                <w:lang w:val="en-US"/>
              </w:rPr>
              <w:t>42% of residents were aged 65+ at the time of the last Census</w:t>
            </w:r>
            <w:r>
              <w:rPr>
                <w:bCs/>
                <w:iCs/>
                <w:color w:val="000000" w:themeColor="text1"/>
                <w:lang w:val="en-US"/>
              </w:rPr>
              <w:t>.</w:t>
            </w:r>
          </w:p>
          <w:p w:rsidR="00435EAC" w:rsidRPr="004277B5" w:rsidRDefault="00435EAC" w:rsidP="009144D7">
            <w:pPr>
              <w:pStyle w:val="BodyText"/>
              <w:rPr>
                <w:bCs/>
                <w:iCs/>
                <w:color w:val="000000" w:themeColor="text1"/>
                <w:lang w:val="en-US"/>
              </w:rPr>
            </w:pPr>
            <w:r w:rsidRPr="004277B5">
              <w:rPr>
                <w:bCs/>
                <w:iCs/>
                <w:color w:val="000000" w:themeColor="text1"/>
                <w:lang w:val="en-US"/>
              </w:rPr>
              <w:t xml:space="preserve">Data for the </w:t>
            </w:r>
            <w:r>
              <w:rPr>
                <w:bCs/>
                <w:iCs/>
                <w:color w:val="000000" w:themeColor="text1"/>
                <w:lang w:val="en-US"/>
              </w:rPr>
              <w:t>District</w:t>
            </w:r>
            <w:r w:rsidRPr="004277B5">
              <w:rPr>
                <w:bCs/>
                <w:iCs/>
                <w:color w:val="000000" w:themeColor="text1"/>
                <w:lang w:val="en-US"/>
              </w:rPr>
              <w:t xml:space="preserve"> provides a strong indication that the growth in one-person households as a share of the overall population will continue to increase over the Plan period.</w:t>
            </w:r>
          </w:p>
          <w:p w:rsidR="00435EAC" w:rsidRPr="004277B5" w:rsidRDefault="00435EAC" w:rsidP="009144D7">
            <w:pPr>
              <w:pStyle w:val="BodyText"/>
              <w:rPr>
                <w:bCs/>
                <w:iCs/>
                <w:color w:val="000000" w:themeColor="text1"/>
                <w:lang w:val="en-US"/>
              </w:rPr>
            </w:pPr>
            <w:r w:rsidRPr="004277B5">
              <w:rPr>
                <w:bCs/>
                <w:iCs/>
                <w:color w:val="000000" w:themeColor="text1"/>
                <w:lang w:val="en-US"/>
              </w:rPr>
              <w:t xml:space="preserve">Using </w:t>
            </w:r>
            <w:r>
              <w:rPr>
                <w:bCs/>
                <w:iCs/>
                <w:color w:val="000000" w:themeColor="text1"/>
                <w:lang w:val="en-US"/>
              </w:rPr>
              <w:t>District</w:t>
            </w:r>
            <w:r w:rsidRPr="004277B5">
              <w:rPr>
                <w:bCs/>
                <w:iCs/>
                <w:color w:val="000000" w:themeColor="text1"/>
                <w:lang w:val="en-US"/>
              </w:rPr>
              <w:t xml:space="preserve"> level data as a guide to future trends, </w:t>
            </w:r>
            <w:r>
              <w:rPr>
                <w:bCs/>
                <w:iCs/>
                <w:color w:val="000000" w:themeColor="text1"/>
                <w:lang w:val="en-US"/>
              </w:rPr>
              <w:t xml:space="preserve">the </w:t>
            </w:r>
            <w:r w:rsidRPr="004277B5">
              <w:rPr>
                <w:bCs/>
                <w:iCs/>
                <w:color w:val="000000" w:themeColor="text1"/>
                <w:lang w:val="en-US"/>
              </w:rPr>
              <w:t xml:space="preserve">characteristics identified in </w:t>
            </w:r>
            <w:r>
              <w:rPr>
                <w:bCs/>
                <w:iCs/>
                <w:color w:val="000000" w:themeColor="text1"/>
                <w:lang w:val="en-US"/>
              </w:rPr>
              <w:t>C</w:t>
            </w:r>
            <w:r w:rsidRPr="004277B5">
              <w:rPr>
                <w:bCs/>
                <w:iCs/>
                <w:color w:val="000000" w:themeColor="text1"/>
                <w:lang w:val="en-US"/>
              </w:rPr>
              <w:t xml:space="preserve">ensus are likely to become more pronounced over the Plan period. </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color w:val="000000" w:themeColor="text1"/>
              </w:rPr>
            </w:pPr>
            <w:r>
              <w:rPr>
                <w:color w:val="000000" w:themeColor="text1"/>
              </w:rPr>
              <w:t xml:space="preserve">The relatively low number of adults aged under 44, and the fall in families </w:t>
            </w:r>
            <w:r w:rsidRPr="004277B5">
              <w:rPr>
                <w:color w:val="000000" w:themeColor="text1"/>
              </w:rPr>
              <w:t xml:space="preserve">threaten to undermine the vitality and viability of the settlement. If this continues, it is likely to reduce demand for infrastructure targeted at </w:t>
            </w:r>
            <w:r>
              <w:rPr>
                <w:color w:val="000000" w:themeColor="text1"/>
              </w:rPr>
              <w:t>these groups</w:t>
            </w:r>
            <w:r w:rsidRPr="004277B5">
              <w:rPr>
                <w:color w:val="000000" w:themeColor="text1"/>
              </w:rPr>
              <w:t>, for example pr</w:t>
            </w:r>
            <w:r>
              <w:rPr>
                <w:color w:val="000000" w:themeColor="text1"/>
              </w:rPr>
              <w:t>imary schools, as well as businesses and services for the general population.</w:t>
            </w:r>
          </w:p>
        </w:tc>
      </w:tr>
      <w:tr w:rsidR="00435EAC" w:rsidRPr="00B90B1C"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t>Dwelling type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pPr>
            <w:r>
              <w:t>Census</w:t>
            </w:r>
            <w:r w:rsidR="00B25544">
              <w:t xml:space="preserve"> 2001/2011</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color w:val="000000" w:themeColor="text1"/>
              </w:rPr>
            </w:pPr>
            <w:r w:rsidRPr="00670A38">
              <w:rPr>
                <w:color w:val="000000" w:themeColor="text1"/>
              </w:rPr>
              <w:t>West Wittering shows a clear preponderance of detached dwellings, in contrast to Chichester which shows a more even balance between houses of different types.</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color w:val="000000" w:themeColor="text1"/>
              </w:rPr>
            </w:pPr>
            <w:r>
              <w:rPr>
                <w:color w:val="000000" w:themeColor="text1"/>
              </w:rPr>
              <w:t xml:space="preserve">The dominance of detached dwellings is consistent with the finding that the housing market is beyond the reach of many and there is a fundamental misalignment between the existing housing stock and the type and size of dwellings required by the community in future years.  </w:t>
            </w:r>
          </w:p>
        </w:tc>
      </w:tr>
      <w:tr w:rsidR="00435EAC" w:rsidRPr="00B90B1C"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lastRenderedPageBreak/>
              <w:t>Family-sized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pPr>
            <w:r w:rsidRPr="00670A38">
              <w:rPr>
                <w:color w:val="000000" w:themeColor="text1"/>
              </w:rPr>
              <w:t>CWSS12</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Default="00435EAC" w:rsidP="009144D7">
            <w:pPr>
              <w:pStyle w:val="BodyText"/>
              <w:rPr>
                <w:color w:val="000000" w:themeColor="text1"/>
              </w:rPr>
            </w:pPr>
            <w:r w:rsidRPr="00670A38">
              <w:rPr>
                <w:color w:val="000000" w:themeColor="text1"/>
              </w:rPr>
              <w:t xml:space="preserve">In Chichester South, the CWSS12 suggests </w:t>
            </w:r>
            <w:r>
              <w:rPr>
                <w:color w:val="000000" w:themeColor="text1"/>
              </w:rPr>
              <w:t>m</w:t>
            </w:r>
            <w:r w:rsidRPr="00670A38">
              <w:rPr>
                <w:color w:val="000000" w:themeColor="text1"/>
              </w:rPr>
              <w:t>edium sized homes of three bedrooms (4-5 habitable rooms) should c</w:t>
            </w:r>
            <w:r>
              <w:rPr>
                <w:color w:val="000000" w:themeColor="text1"/>
              </w:rPr>
              <w:t>onstitute 48.5% of all market dwellings</w:t>
            </w:r>
            <w:r w:rsidRPr="00670A38">
              <w:rPr>
                <w:color w:val="000000" w:themeColor="text1"/>
              </w:rPr>
              <w:t xml:space="preserve">, and 18.2% should be apportioned to larger </w:t>
            </w:r>
            <w:r>
              <w:rPr>
                <w:color w:val="000000" w:themeColor="text1"/>
              </w:rPr>
              <w:t>homes.</w:t>
            </w:r>
          </w:p>
          <w:p w:rsidR="00435EAC" w:rsidRPr="004277B5" w:rsidRDefault="00435EAC" w:rsidP="009144D7">
            <w:pPr>
              <w:pStyle w:val="BodyText"/>
              <w:rPr>
                <w:color w:val="000000" w:themeColor="text1"/>
              </w:rPr>
            </w:pPr>
            <w:r w:rsidRPr="00670A38">
              <w:rPr>
                <w:color w:val="000000" w:themeColor="text1"/>
              </w:rPr>
              <w:t xml:space="preserve">In Chichester South, the CWSS12 suggests 30.1% of </w:t>
            </w:r>
            <w:r>
              <w:rPr>
                <w:color w:val="000000" w:themeColor="text1"/>
              </w:rPr>
              <w:t>affordable homes should be m</w:t>
            </w:r>
            <w:r w:rsidRPr="00670A38">
              <w:rPr>
                <w:color w:val="000000" w:themeColor="text1"/>
              </w:rPr>
              <w:t>edium sized homes of three bedrooms (4-5 habitable rooms), and only 3% of larger size.</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4277B5" w:rsidRDefault="00435EAC" w:rsidP="009144D7">
            <w:pPr>
              <w:pStyle w:val="BodyText"/>
              <w:rPr>
                <w:color w:val="000000" w:themeColor="text1"/>
              </w:rPr>
            </w:pPr>
            <w:r>
              <w:rPr>
                <w:color w:val="000000" w:themeColor="text1"/>
              </w:rPr>
              <w:t xml:space="preserve">There is a strong argument for the provision of family housing within the overall mix. The evidence assembled may be used to justify policy that seeks a balanced community in terms of age, household composition and income group. </w:t>
            </w:r>
          </w:p>
        </w:tc>
      </w:tr>
      <w:tr w:rsidR="00435EAC" w:rsidRPr="00B90B1C" w:rsidTr="009144D7">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B90B1C" w:rsidRDefault="00435EAC" w:rsidP="009144D7">
            <w:pPr>
              <w:pStyle w:val="BodyText"/>
              <w:rPr>
                <w:b/>
                <w:bCs/>
              </w:rPr>
            </w:pPr>
            <w:r w:rsidRPr="00B90B1C">
              <w:rPr>
                <w:b/>
                <w:bCs/>
              </w:rPr>
              <w:t>Housing for independent living for older people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3F6F7E" w:rsidRDefault="00435EAC" w:rsidP="009144D7">
            <w:pPr>
              <w:pStyle w:val="BodyText"/>
              <w:rPr>
                <w:bCs/>
              </w:rPr>
            </w:pPr>
            <w:r w:rsidRPr="00670A38">
              <w:rPr>
                <w:color w:val="000000" w:themeColor="text1"/>
              </w:rPr>
              <w:t>CWSS12</w:t>
            </w:r>
            <w:r>
              <w:rPr>
                <w:color w:val="000000" w:themeColor="text1"/>
              </w:rPr>
              <w:t xml:space="preserve">, Census, Housing </w:t>
            </w:r>
            <w:r w:rsidRPr="00A7065F">
              <w:rPr>
                <w:color w:val="000000" w:themeColor="text1"/>
              </w:rPr>
              <w:t>Learning and Improvement Network</w:t>
            </w:r>
          </w:p>
        </w:tc>
        <w:tc>
          <w:tcPr>
            <w:tcW w:w="34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Default="00435EAC" w:rsidP="009144D7">
            <w:pPr>
              <w:pStyle w:val="BodyText"/>
              <w:rPr>
                <w:bCs/>
                <w:iCs/>
                <w:color w:val="000000" w:themeColor="text1"/>
                <w:lang w:val="en-US"/>
              </w:rPr>
            </w:pPr>
            <w:r w:rsidRPr="004277B5">
              <w:rPr>
                <w:bCs/>
                <w:iCs/>
                <w:color w:val="000000" w:themeColor="text1"/>
                <w:lang w:val="en-US"/>
              </w:rPr>
              <w:t xml:space="preserve">The </w:t>
            </w:r>
            <w:r>
              <w:rPr>
                <w:bCs/>
                <w:iCs/>
                <w:color w:val="000000" w:themeColor="text1"/>
                <w:lang w:val="en-US"/>
              </w:rPr>
              <w:t>District</w:t>
            </w:r>
            <w:r w:rsidRPr="004277B5">
              <w:rPr>
                <w:bCs/>
                <w:iCs/>
                <w:color w:val="000000" w:themeColor="text1"/>
                <w:lang w:val="en-US"/>
              </w:rPr>
              <w:t xml:space="preserve"> data shows a substantial increase in the populati</w:t>
            </w:r>
            <w:r>
              <w:rPr>
                <w:bCs/>
                <w:iCs/>
                <w:color w:val="000000" w:themeColor="text1"/>
                <w:lang w:val="en-US"/>
              </w:rPr>
              <w:t xml:space="preserve">on of those aged 65+. </w:t>
            </w:r>
          </w:p>
          <w:p w:rsidR="00435EAC" w:rsidRPr="004277B5" w:rsidRDefault="00435EAC" w:rsidP="009144D7">
            <w:pPr>
              <w:pStyle w:val="BodyText"/>
              <w:rPr>
                <w:bCs/>
                <w:color w:val="000000" w:themeColor="text1"/>
              </w:rPr>
            </w:pPr>
            <w:r>
              <w:rPr>
                <w:bCs/>
                <w:iCs/>
                <w:color w:val="000000" w:themeColor="text1"/>
                <w:lang w:val="en-US"/>
              </w:rPr>
              <w:t>G</w:t>
            </w:r>
            <w:r w:rsidRPr="004277B5">
              <w:rPr>
                <w:bCs/>
                <w:iCs/>
                <w:color w:val="000000" w:themeColor="text1"/>
                <w:lang w:val="en-US"/>
              </w:rPr>
              <w:t xml:space="preserve">iven </w:t>
            </w:r>
            <w:r>
              <w:rPr>
                <w:bCs/>
                <w:iCs/>
                <w:color w:val="000000" w:themeColor="text1"/>
                <w:lang w:val="en-US"/>
              </w:rPr>
              <w:t xml:space="preserve">that </w:t>
            </w:r>
            <w:r w:rsidRPr="004277B5">
              <w:rPr>
                <w:bCs/>
                <w:iCs/>
                <w:color w:val="000000" w:themeColor="text1"/>
                <w:lang w:val="en-US"/>
              </w:rPr>
              <w:t xml:space="preserve">the population of the NPA </w:t>
            </w:r>
            <w:r>
              <w:rPr>
                <w:bCs/>
                <w:iCs/>
                <w:color w:val="000000" w:themeColor="text1"/>
                <w:lang w:val="en-US"/>
              </w:rPr>
              <w:t>is already</w:t>
            </w:r>
            <w:r w:rsidRPr="004277B5">
              <w:rPr>
                <w:bCs/>
                <w:iCs/>
                <w:color w:val="000000" w:themeColor="text1"/>
                <w:lang w:val="en-US"/>
              </w:rPr>
              <w:t xml:space="preserve"> strongly ag</w:t>
            </w:r>
            <w:r>
              <w:rPr>
                <w:bCs/>
                <w:iCs/>
                <w:color w:val="000000" w:themeColor="text1"/>
                <w:lang w:val="en-US"/>
              </w:rPr>
              <w:t>e</w:t>
            </w:r>
            <w:r w:rsidRPr="004277B5">
              <w:rPr>
                <w:bCs/>
                <w:iCs/>
                <w:color w:val="000000" w:themeColor="text1"/>
                <w:lang w:val="en-US"/>
              </w:rPr>
              <w:t xml:space="preserve">ing, a reasonable conclusion would be that trends forecast for the </w:t>
            </w:r>
            <w:r>
              <w:rPr>
                <w:bCs/>
                <w:iCs/>
                <w:color w:val="000000" w:themeColor="text1"/>
                <w:lang w:val="en-US"/>
              </w:rPr>
              <w:t>District</w:t>
            </w:r>
            <w:r w:rsidRPr="004277B5">
              <w:rPr>
                <w:bCs/>
                <w:iCs/>
                <w:color w:val="000000" w:themeColor="text1"/>
                <w:lang w:val="en-US"/>
              </w:rPr>
              <w:t xml:space="preserve"> are likely to be more extreme in West </w:t>
            </w:r>
            <w:proofErr w:type="spellStart"/>
            <w:r w:rsidRPr="004277B5">
              <w:rPr>
                <w:bCs/>
                <w:iCs/>
                <w:color w:val="000000" w:themeColor="text1"/>
                <w:lang w:val="en-US"/>
              </w:rPr>
              <w:t>Wittering</w:t>
            </w:r>
            <w:proofErr w:type="spellEnd"/>
            <w:r w:rsidRPr="004277B5">
              <w:rPr>
                <w:bCs/>
                <w:iCs/>
                <w:color w:val="000000" w:themeColor="text1"/>
                <w:lang w:val="en-US"/>
              </w:rPr>
              <w:t>.</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35EAC" w:rsidRPr="00C0690C" w:rsidRDefault="00435EAC" w:rsidP="009144D7">
            <w:pPr>
              <w:pStyle w:val="BodyText"/>
              <w:rPr>
                <w:color w:val="000000" w:themeColor="text1"/>
                <w:lang w:val="en-US"/>
              </w:rPr>
            </w:pPr>
            <w:r>
              <w:rPr>
                <w:color w:val="000000" w:themeColor="text1"/>
                <w:lang w:val="en-US"/>
              </w:rPr>
              <w:t>Using the H</w:t>
            </w:r>
            <w:r w:rsidRPr="00C0690C">
              <w:rPr>
                <w:color w:val="000000" w:themeColor="text1"/>
                <w:lang w:val="en-US"/>
              </w:rPr>
              <w:t>ousing LIN</w:t>
            </w:r>
            <w:r>
              <w:rPr>
                <w:rStyle w:val="FootnoteReference"/>
                <w:lang w:val="en-US"/>
              </w:rPr>
              <w:footnoteReference w:id="56"/>
            </w:r>
            <w:r>
              <w:rPr>
                <w:color w:val="000000" w:themeColor="text1"/>
                <w:lang w:val="en-US"/>
              </w:rPr>
              <w:t xml:space="preserve"> </w:t>
            </w:r>
            <w:r w:rsidRPr="00C0690C">
              <w:rPr>
                <w:color w:val="000000" w:themeColor="text1"/>
                <w:lang w:val="en-US"/>
              </w:rPr>
              <w:t xml:space="preserve">approach, over the Plan period, this HNA has identified a need in the </w:t>
            </w:r>
            <w:r>
              <w:rPr>
                <w:color w:val="000000" w:themeColor="text1"/>
                <w:lang w:val="en-US"/>
              </w:rPr>
              <w:t>Parish</w:t>
            </w:r>
            <w:r w:rsidRPr="00C0690C">
              <w:rPr>
                <w:color w:val="000000" w:themeColor="text1"/>
                <w:lang w:val="en-US"/>
              </w:rPr>
              <w:t xml:space="preserve"> for: </w:t>
            </w:r>
          </w:p>
          <w:p w:rsidR="00435EAC" w:rsidRPr="00C0690C" w:rsidRDefault="00435EAC" w:rsidP="009144D7">
            <w:pPr>
              <w:pStyle w:val="BodyText"/>
              <w:rPr>
                <w:color w:val="000000" w:themeColor="text1"/>
                <w:lang w:val="en-US"/>
              </w:rPr>
            </w:pPr>
            <w:r w:rsidRPr="00C0690C">
              <w:rPr>
                <w:color w:val="000000" w:themeColor="text1"/>
                <w:lang w:val="en-US"/>
              </w:rPr>
              <w:t>10 additional conventional sheltered housing units</w:t>
            </w:r>
          </w:p>
          <w:p w:rsidR="00435EAC" w:rsidRPr="00C0690C" w:rsidRDefault="00435EAC" w:rsidP="009144D7">
            <w:pPr>
              <w:pStyle w:val="BodyText"/>
              <w:rPr>
                <w:color w:val="000000" w:themeColor="text1"/>
                <w:lang w:val="en-US"/>
              </w:rPr>
            </w:pPr>
            <w:r w:rsidRPr="00C0690C">
              <w:rPr>
                <w:color w:val="000000" w:themeColor="text1"/>
                <w:lang w:val="en-US"/>
              </w:rPr>
              <w:t>20 additional leasehold sheltered housing units</w:t>
            </w:r>
          </w:p>
          <w:p w:rsidR="00435EAC" w:rsidRPr="00C0690C" w:rsidRDefault="00435EAC" w:rsidP="009144D7">
            <w:pPr>
              <w:pStyle w:val="BodyText"/>
              <w:rPr>
                <w:color w:val="000000" w:themeColor="text1"/>
                <w:lang w:val="en-US"/>
              </w:rPr>
            </w:pPr>
            <w:r w:rsidRPr="00C0690C">
              <w:rPr>
                <w:color w:val="000000" w:themeColor="text1"/>
                <w:lang w:val="en-US"/>
              </w:rPr>
              <w:t>4 additional ‘enhanced’ sheltered units, split 50:50 between those for rent and those for sale</w:t>
            </w:r>
          </w:p>
          <w:p w:rsidR="00435EAC" w:rsidRPr="00C0690C" w:rsidRDefault="00435EAC" w:rsidP="009144D7">
            <w:pPr>
              <w:pStyle w:val="BodyText"/>
              <w:rPr>
                <w:color w:val="000000" w:themeColor="text1"/>
                <w:lang w:val="en-US"/>
              </w:rPr>
            </w:pPr>
            <w:r w:rsidRPr="00C0690C">
              <w:rPr>
                <w:color w:val="000000" w:themeColor="text1"/>
                <w:lang w:val="en-US"/>
              </w:rPr>
              <w:t>3 additional extra care housing units for rent</w:t>
            </w:r>
          </w:p>
          <w:p w:rsidR="00435EAC" w:rsidRPr="00C0690C" w:rsidRDefault="00435EAC" w:rsidP="009144D7">
            <w:pPr>
              <w:pStyle w:val="BodyText"/>
              <w:rPr>
                <w:color w:val="000000" w:themeColor="text1"/>
                <w:lang w:val="en-US"/>
              </w:rPr>
            </w:pPr>
            <w:r w:rsidRPr="00C0690C">
              <w:rPr>
                <w:color w:val="000000" w:themeColor="text1"/>
                <w:lang w:val="en-US"/>
              </w:rPr>
              <w:t>6 additional extra care housing units for sale</w:t>
            </w:r>
          </w:p>
          <w:p w:rsidR="00435EAC" w:rsidRDefault="00435EAC" w:rsidP="009144D7">
            <w:pPr>
              <w:pStyle w:val="BodyText"/>
              <w:rPr>
                <w:color w:val="000000" w:themeColor="text1"/>
                <w:lang w:val="en-US"/>
              </w:rPr>
            </w:pPr>
            <w:r w:rsidRPr="00C0690C">
              <w:rPr>
                <w:color w:val="000000" w:themeColor="text1"/>
                <w:lang w:val="en-US"/>
              </w:rPr>
              <w:t>1 additional specialist dementia care home</w:t>
            </w:r>
          </w:p>
          <w:p w:rsidR="00435EAC" w:rsidRPr="004277B5" w:rsidRDefault="00435EAC" w:rsidP="009144D7">
            <w:pPr>
              <w:pStyle w:val="BodyText"/>
              <w:rPr>
                <w:color w:val="000000" w:themeColor="text1"/>
                <w:lang w:val="en-US"/>
              </w:rPr>
            </w:pPr>
            <w:r>
              <w:rPr>
                <w:color w:val="000000" w:themeColor="text1"/>
                <w:lang w:val="en-US"/>
              </w:rPr>
              <w:t xml:space="preserve">There is no obligation on the Parish to satisfy the need for 44 specialist dwellings for the elderly, and they may be better provided </w:t>
            </w:r>
            <w:proofErr w:type="gramStart"/>
            <w:r>
              <w:rPr>
                <w:color w:val="000000" w:themeColor="text1"/>
                <w:lang w:val="en-US"/>
              </w:rPr>
              <w:t>at  settlements</w:t>
            </w:r>
            <w:proofErr w:type="gramEnd"/>
            <w:r>
              <w:rPr>
                <w:color w:val="000000" w:themeColor="text1"/>
                <w:lang w:val="en-US"/>
              </w:rPr>
              <w:t xml:space="preserve"> that can provide better access to services; however, the need should be borne in mind in formulating the plan’s housing policies. </w:t>
            </w:r>
          </w:p>
        </w:tc>
      </w:tr>
    </w:tbl>
    <w:p w:rsidR="00435EAC" w:rsidRPr="00B90B1C" w:rsidRDefault="00435EAC" w:rsidP="00435EAC">
      <w:pPr>
        <w:pStyle w:val="BodyText"/>
        <w:rPr>
          <w:b/>
          <w:lang w:val="en-US"/>
        </w:rPr>
      </w:pPr>
    </w:p>
    <w:p w:rsidR="00E80CC8" w:rsidRPr="00B90B1C" w:rsidRDefault="00E80CC8" w:rsidP="00B90B1C">
      <w:pPr>
        <w:pStyle w:val="Heading2"/>
        <w:rPr>
          <w:lang w:val="en-US"/>
        </w:rPr>
      </w:pPr>
      <w:bookmarkStart w:id="210" w:name="_Toc425332024"/>
      <w:bookmarkStart w:id="211" w:name="_Toc461696231"/>
      <w:bookmarkStart w:id="212" w:name="_Toc504464756"/>
      <w:bookmarkEnd w:id="209"/>
      <w:r w:rsidRPr="00B90B1C">
        <w:rPr>
          <w:lang w:val="en-US"/>
        </w:rPr>
        <w:t>Recommendations for next steps</w:t>
      </w:r>
      <w:bookmarkEnd w:id="210"/>
      <w:bookmarkEnd w:id="211"/>
      <w:bookmarkEnd w:id="212"/>
    </w:p>
    <w:p w:rsidR="000C7B46" w:rsidRPr="000C7B46" w:rsidRDefault="000C7B46" w:rsidP="000C7B46">
      <w:pPr>
        <w:pStyle w:val="ListNumber"/>
        <w:rPr>
          <w:lang w:val="en-US"/>
        </w:rPr>
      </w:pPr>
      <w:bookmarkStart w:id="213" w:name="Text_DocumentCopies"/>
      <w:r w:rsidRPr="000C7B46">
        <w:rPr>
          <w:lang w:val="en-US"/>
        </w:rPr>
        <w:t xml:space="preserve">This neighbourhood plan housing needs advice has aimed to provide WWPC with evidence on housing trends from a range of sources. We recommend that the </w:t>
      </w:r>
      <w:r w:rsidR="005F5CF8">
        <w:rPr>
          <w:lang w:val="en-US"/>
        </w:rPr>
        <w:t>Parish</w:t>
      </w:r>
      <w:r w:rsidRPr="000C7B46">
        <w:rPr>
          <w:lang w:val="en-US"/>
        </w:rPr>
        <w:t xml:space="preserve"> should, as a next step, discuss the contents and conclusions with CDC with a view to agreeing and formulating draft housing policies, in particular the appropriate approach to identifying the level of </w:t>
      </w:r>
      <w:r w:rsidR="00864229">
        <w:rPr>
          <w:lang w:val="en-US"/>
        </w:rPr>
        <w:t xml:space="preserve">new housing </w:t>
      </w:r>
      <w:r w:rsidRPr="000C7B46">
        <w:rPr>
          <w:lang w:val="en-US"/>
        </w:rPr>
        <w:t>need in the NP area, bearing the following in mind:</w:t>
      </w:r>
    </w:p>
    <w:p w:rsidR="000C7B46" w:rsidRPr="000C7B46" w:rsidRDefault="000C7B46" w:rsidP="000C7B46">
      <w:pPr>
        <w:pStyle w:val="ListNumber"/>
        <w:numPr>
          <w:ilvl w:val="0"/>
          <w:numId w:val="36"/>
        </w:numPr>
      </w:pPr>
      <w:r w:rsidRPr="000C7B46">
        <w:lastRenderedPageBreak/>
        <w:t>Neighbourhood Planning Basic Condition A, that it has regard to national policies and advice contained in guidance issued by the Secretary of State; Condition D, that the making of the neighbourhood plan contributes to the achievement of sustainable development; and Condition E, which is the need for the neighbourhood plan to be in general conformity with the adopted strategic development plan;</w:t>
      </w:r>
    </w:p>
    <w:p w:rsidR="000C7B46" w:rsidRPr="000C7B46" w:rsidRDefault="000C7B46" w:rsidP="000C7B46">
      <w:pPr>
        <w:pStyle w:val="ListBullet"/>
      </w:pPr>
      <w:r w:rsidRPr="000C7B46">
        <w:t>the views of CDC – in particular in relation to the housing need figure that should be adopted;</w:t>
      </w:r>
    </w:p>
    <w:p w:rsidR="000C7B46" w:rsidRPr="000C7B46" w:rsidRDefault="000C7B46" w:rsidP="000C7B46">
      <w:pPr>
        <w:pStyle w:val="ListBullet"/>
      </w:pPr>
      <w:r w:rsidRPr="000C7B46">
        <w:t>the views of local residents;</w:t>
      </w:r>
    </w:p>
    <w:p w:rsidR="000C7B46" w:rsidRPr="000C7B46" w:rsidRDefault="000C7B46" w:rsidP="000C7B46">
      <w:pPr>
        <w:pStyle w:val="ListBullet"/>
      </w:pPr>
      <w:r w:rsidRPr="000C7B46">
        <w:t xml:space="preserve">the views of other relevant local stakeholders, including housing developers; </w:t>
      </w:r>
    </w:p>
    <w:p w:rsidR="000C7B46" w:rsidRPr="000C7B46" w:rsidRDefault="000C7B46" w:rsidP="000C7B46">
      <w:pPr>
        <w:pStyle w:val="ListBullet"/>
      </w:pPr>
      <w:r w:rsidRPr="000C7B46">
        <w:t>the numerous supply-side considerations, including local environmental constraints, the location and characteristics of suitable land, and any capacity work carried out by the CDC, including but not limited to the SHLAA</w:t>
      </w:r>
      <w:r w:rsidR="00864229">
        <w:t>;</w:t>
      </w:r>
    </w:p>
    <w:p w:rsidR="000C7B46" w:rsidRPr="000C7B46" w:rsidRDefault="000C7B46" w:rsidP="000C7B46">
      <w:pPr>
        <w:pStyle w:val="ListBullet"/>
      </w:pPr>
      <w:r w:rsidRPr="000C7B46">
        <w:t>the recommendations and findings of this study; and</w:t>
      </w:r>
    </w:p>
    <w:p w:rsidR="000C7B46" w:rsidRPr="000C7B46" w:rsidRDefault="00864229" w:rsidP="000C7B46">
      <w:pPr>
        <w:pStyle w:val="ListBullet"/>
      </w:pPr>
      <w:r>
        <w:t>t</w:t>
      </w:r>
      <w:r w:rsidR="000C7B46" w:rsidRPr="000C7B46">
        <w:t xml:space="preserve">he impact of the new Government proposed standard methodology on calculating housing need </w:t>
      </w:r>
      <w:r w:rsidR="00CB5322">
        <w:t>for</w:t>
      </w:r>
      <w:r w:rsidR="00CB5322" w:rsidRPr="000C7B46">
        <w:t xml:space="preserve"> </w:t>
      </w:r>
      <w:r w:rsidR="000C7B46" w:rsidRPr="000C7B46">
        <w:t xml:space="preserve">the </w:t>
      </w:r>
      <w:r w:rsidR="005F5CF8">
        <w:t>District</w:t>
      </w:r>
      <w:r w:rsidR="000C7B46" w:rsidRPr="000C7B46">
        <w:t xml:space="preserve"> and its neighbourhoods.</w:t>
      </w:r>
    </w:p>
    <w:p w:rsidR="000C7B46" w:rsidRPr="000C7B46" w:rsidRDefault="000C7B46" w:rsidP="000C7B46">
      <w:pPr>
        <w:pStyle w:val="ListNumber"/>
        <w:rPr>
          <w:lang w:val="en-US"/>
        </w:rPr>
      </w:pPr>
      <w:r w:rsidRPr="000C7B46">
        <w:rPr>
          <w:lang w:val="en-US"/>
        </w:rPr>
        <w:t>Recent changes to the planning system, forthcoming changes to the NPPF, as well as the implementation of the Housing and Planning Act, will continue to affect housing policies at a local authority and, by extension, a neighbourhood level.</w:t>
      </w:r>
    </w:p>
    <w:p w:rsidR="000C7B46" w:rsidRPr="000C7B46" w:rsidRDefault="000C7B46" w:rsidP="000C7B46">
      <w:pPr>
        <w:pStyle w:val="ListNumber"/>
        <w:rPr>
          <w:lang w:val="en-US"/>
        </w:rPr>
      </w:pPr>
      <w:r w:rsidRPr="000C7B46">
        <w:rPr>
          <w:lang w:val="en-US"/>
        </w:rPr>
        <w:t>This advice note has been provided in good faith by AECOM on the basis of housing data and national guidance current at the time of writing (alongside other relevant and available information).</w:t>
      </w:r>
    </w:p>
    <w:p w:rsidR="000C7B46" w:rsidRPr="000C7B46" w:rsidRDefault="000C7B46" w:rsidP="000C7B46">
      <w:pPr>
        <w:pStyle w:val="ListNumber"/>
        <w:rPr>
          <w:lang w:val="en-US"/>
        </w:rPr>
      </w:pPr>
      <w:r w:rsidRPr="000C7B46">
        <w:rPr>
          <w:lang w:val="en-US"/>
        </w:rPr>
        <w:t xml:space="preserve">Bearing this in mind, we recommend that the steering group should monitor carefully strategies and documents with an impact on housing policy produced by the LPA or any other relevant body and review the neighbourhood plan accordingly to ensure that general conformity is maintained. </w:t>
      </w:r>
    </w:p>
    <w:p w:rsidR="000C7B46" w:rsidRPr="007E3425" w:rsidRDefault="000C7B46" w:rsidP="000C7B46">
      <w:pPr>
        <w:pStyle w:val="ListNumber"/>
        <w:rPr>
          <w:lang w:val="en-US"/>
        </w:rPr>
        <w:sectPr w:rsidR="000C7B46" w:rsidRPr="007E3425" w:rsidSect="00B25544">
          <w:headerReference w:type="default" r:id="rId31"/>
          <w:pgSz w:w="11907" w:h="16839" w:code="9"/>
          <w:pgMar w:top="1440" w:right="1080" w:bottom="1080" w:left="1080" w:header="432" w:footer="432" w:gutter="0"/>
          <w:cols w:space="720"/>
          <w:docGrid w:linePitch="360"/>
        </w:sectPr>
      </w:pPr>
      <w:r w:rsidRPr="000C7B46">
        <w:rPr>
          <w:lang w:val="en-US"/>
        </w:rPr>
        <w:t xml:space="preserve">At the same time, monitoring on-going demographic or other trends over the period in which the neighbourhood plan is being developed (factors summarised in Table 1) would help ensure </w:t>
      </w:r>
      <w:r w:rsidR="00B3089F">
        <w:rPr>
          <w:lang w:val="en-US"/>
        </w:rPr>
        <w:t xml:space="preserve">the </w:t>
      </w:r>
      <w:r w:rsidRPr="000C7B46">
        <w:rPr>
          <w:lang w:val="en-US"/>
        </w:rPr>
        <w:t>relevance and credibility of its policies.</w:t>
      </w:r>
    </w:p>
    <w:bookmarkEnd w:id="213"/>
    <w:p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E1B08" w:rsidRPr="004E1B08" w:rsidTr="00DE18EB">
        <w:trPr>
          <w:trHeight w:val="4500"/>
        </w:trPr>
        <w:tc>
          <w:tcPr>
            <w:tcW w:w="5925" w:type="dxa"/>
            <w:shd w:val="clear" w:color="auto" w:fill="auto"/>
            <w:vAlign w:val="bottom"/>
          </w:tcPr>
          <w:p w:rsidR="00FD6567" w:rsidRPr="00FD6567" w:rsidRDefault="00FD6567" w:rsidP="00FD6567">
            <w:pPr>
              <w:pStyle w:val="Coverfooter"/>
              <w:rPr>
                <w:color w:val="FFFFFF"/>
                <w:lang w:val="en-US"/>
              </w:rPr>
            </w:pPr>
            <w:bookmarkStart w:id="214" w:name="BackCoverText" w:colFirst="0" w:colLast="0"/>
            <w:r w:rsidRPr="00FD6567">
              <w:rPr>
                <w:color w:val="FFFFFF"/>
                <w:lang w:val="en-US"/>
              </w:rPr>
              <w:t>AECOM (NYSE: ACM) is a global provider of professional technical and management support services to a broad range of markets, including transportation, facilities, environmental, energy, water and government. With approximately 45,000 employees around the world, AECOM is a leader in all of the key markets that it serves. AECOM provides a blend of global reach, local knowledge, innovation, and collaborative technical excellence in delivering solutions that enhance and sustain the world’s built, natural, and social environments. A Fortune 500 company, AECOM serves Clients in more than 100 countries and has annual revenue in excess of $6 billion.</w:t>
            </w:r>
          </w:p>
          <w:p w:rsidR="00FD6567" w:rsidRPr="00FD6567" w:rsidRDefault="00FD6567" w:rsidP="00FD6567">
            <w:pPr>
              <w:pStyle w:val="Coverfooter"/>
              <w:rPr>
                <w:color w:val="FFFFFF"/>
                <w:lang w:val="en-US"/>
              </w:rPr>
            </w:pPr>
          </w:p>
          <w:p w:rsidR="00FD6567" w:rsidRPr="00FD6567" w:rsidRDefault="00FD6567" w:rsidP="00FD6567">
            <w:pPr>
              <w:pStyle w:val="Coverfooter"/>
              <w:rPr>
                <w:color w:val="FFFFFF"/>
                <w:lang w:val="en-US"/>
              </w:rPr>
            </w:pPr>
            <w:r w:rsidRPr="00FD6567">
              <w:rPr>
                <w:color w:val="FFFFFF"/>
                <w:lang w:val="en-US"/>
              </w:rPr>
              <w:t>More information on AECOM and its services can be found at www.aecom.com.</w:t>
            </w:r>
          </w:p>
          <w:p w:rsidR="00DE18EB" w:rsidRPr="005A1F44" w:rsidRDefault="00DE18EB" w:rsidP="00CC56EE">
            <w:pPr>
              <w:pStyle w:val="Coverfooter"/>
              <w:rPr>
                <w:color w:val="FFFFFF"/>
              </w:rPr>
            </w:pPr>
          </w:p>
          <w:p w:rsidR="00DE18EB" w:rsidRPr="005A1F44" w:rsidRDefault="00DE18EB" w:rsidP="00CC56EE">
            <w:pPr>
              <w:pStyle w:val="Coverfooter"/>
              <w:rPr>
                <w:color w:val="FFFFFF"/>
              </w:rPr>
            </w:pPr>
          </w:p>
          <w:p w:rsidR="00493CF1" w:rsidRPr="005A1F44" w:rsidRDefault="005A1F44" w:rsidP="00CC56EE">
            <w:pPr>
              <w:pStyle w:val="Coverfooter"/>
              <w:rPr>
                <w:color w:val="FFFFFF"/>
              </w:rPr>
            </w:pPr>
            <w:bookmarkStart w:id="215" w:name="OfficeAddress"/>
            <w:r w:rsidRPr="005A1F44">
              <w:rPr>
                <w:color w:val="FFFFFF"/>
              </w:rPr>
              <w:t xml:space="preserve">aecom.com </w:t>
            </w:r>
            <w:bookmarkEnd w:id="215"/>
            <w:r w:rsidR="00493CF1" w:rsidRPr="005A1F44">
              <w:rPr>
                <w:color w:val="FFFFFF"/>
              </w:rPr>
              <w:t xml:space="preserve"> </w:t>
            </w:r>
          </w:p>
          <w:p w:rsidR="00493CF1" w:rsidRPr="005A1F44" w:rsidRDefault="00493CF1" w:rsidP="00CC56EE">
            <w:pPr>
              <w:pStyle w:val="Coverfooter"/>
              <w:rPr>
                <w:color w:val="FFFFFF"/>
              </w:rPr>
            </w:pPr>
          </w:p>
        </w:tc>
        <w:tc>
          <w:tcPr>
            <w:tcW w:w="3101" w:type="dxa"/>
            <w:shd w:val="clear" w:color="auto" w:fill="auto"/>
            <w:vAlign w:val="bottom"/>
          </w:tcPr>
          <w:p w:rsidR="00493CF1" w:rsidRPr="004E1B08" w:rsidRDefault="00493CF1" w:rsidP="00CC56EE">
            <w:pPr>
              <w:pStyle w:val="Coverfooter"/>
            </w:pPr>
          </w:p>
        </w:tc>
      </w:tr>
      <w:bookmarkEnd w:id="214"/>
      <w:tr w:rsidR="004E1B08" w:rsidRPr="004E1B08" w:rsidTr="00DE18EB">
        <w:trPr>
          <w:trHeight w:val="508"/>
        </w:trPr>
        <w:tc>
          <w:tcPr>
            <w:tcW w:w="5925" w:type="dxa"/>
            <w:shd w:val="clear" w:color="auto" w:fill="auto"/>
            <w:vAlign w:val="bottom"/>
          </w:tcPr>
          <w:p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80768" behindDoc="1" locked="0" layoutInCell="0" allowOverlap="0" wp14:anchorId="761957DB" wp14:editId="454C72C1">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BackCoverBlue" o:spid="_x0000_s1026" style="position:absolute;margin-left:0;margin-top:0;width:477.85pt;height:817.8pt;z-index:-2516357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rsidR="00DE18EB" w:rsidRPr="004E1B08" w:rsidRDefault="00DE18EB" w:rsidP="00CC56EE">
            <w:pPr>
              <w:pStyle w:val="Coverfooter"/>
            </w:pPr>
          </w:p>
        </w:tc>
      </w:tr>
    </w:tbl>
    <w:p w:rsidR="00493CF1" w:rsidRPr="005137B7" w:rsidRDefault="00493CF1" w:rsidP="005137B7"/>
    <w:sectPr w:rsidR="00493CF1" w:rsidRPr="005137B7" w:rsidSect="004E43B0">
      <w:headerReference w:type="default" r:id="rId32"/>
      <w:footerReference w:type="default" r:id="rId33"/>
      <w:pgSz w:w="11906" w:h="16838"/>
      <w:pgMar w:top="1134" w:right="1440" w:bottom="851" w:left="1440" w:header="709"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7C2D86" w15:done="0"/>
  <w15:commentEx w15:paraId="2CD9668E" w15:done="0"/>
  <w15:commentEx w15:paraId="2B401068" w15:done="0"/>
  <w15:commentEx w15:paraId="53C22FCF" w15:done="0"/>
  <w15:commentEx w15:paraId="5BB103B8" w15:done="0"/>
  <w15:commentEx w15:paraId="30E89CC9" w15:done="0"/>
  <w15:commentEx w15:paraId="66D396EB" w15:done="0"/>
  <w15:commentEx w15:paraId="7CFD0E2E" w15:done="0"/>
  <w15:commentEx w15:paraId="1315EFD4" w15:done="0"/>
  <w15:commentEx w15:paraId="4B9E47E5" w15:done="0"/>
  <w15:commentEx w15:paraId="2EA7FE0E" w15:done="0"/>
  <w15:commentEx w15:paraId="7DCA1B53" w15:done="0"/>
  <w15:commentEx w15:paraId="4D8740DA" w15:done="0"/>
  <w15:commentEx w15:paraId="58CFD538" w15:done="0"/>
  <w15:commentEx w15:paraId="3833A0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7C2D86" w16cid:durableId="1D133797"/>
  <w16cid:commentId w16cid:paraId="2CD9668E" w16cid:durableId="1D13379A"/>
  <w16cid:commentId w16cid:paraId="53C22FCF" w16cid:durableId="1D13379C"/>
  <w16cid:commentId w16cid:paraId="5BB103B8" w16cid:durableId="1D13379D"/>
  <w16cid:commentId w16cid:paraId="30E89CC9" w16cid:durableId="1D13379E"/>
  <w16cid:commentId w16cid:paraId="66D396EB" w16cid:durableId="1D13379F"/>
  <w16cid:commentId w16cid:paraId="7CFD0E2E" w16cid:durableId="1D1337A2"/>
  <w16cid:commentId w16cid:paraId="1315EFD4" w16cid:durableId="1D1337A3"/>
  <w16cid:commentId w16cid:paraId="4B9E47E5" w16cid:durableId="1D1337A4"/>
  <w16cid:commentId w16cid:paraId="2EA7FE0E" w16cid:durableId="1D1337A6"/>
  <w16cid:commentId w16cid:paraId="7DCA1B53" w16cid:durableId="1D1337A7"/>
  <w16cid:commentId w16cid:paraId="4D8740DA" w16cid:durableId="1D1337A8"/>
  <w16cid:commentId w16cid:paraId="58CFD538" w16cid:durableId="1D1337A9"/>
  <w16cid:commentId w16cid:paraId="3833A002" w16cid:durableId="1D1337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B88" w:rsidRDefault="006F5B88" w:rsidP="00253171">
      <w:pPr>
        <w:spacing w:line="240" w:lineRule="auto"/>
      </w:pPr>
      <w:r>
        <w:separator/>
      </w:r>
    </w:p>
  </w:endnote>
  <w:endnote w:type="continuationSeparator" w:id="0">
    <w:p w:rsidR="006F5B88" w:rsidRDefault="006F5B88"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4D7" w:rsidRDefault="009144D7"/>
  <w:tbl>
    <w:tblPr>
      <w:tblStyle w:val="Plaingrid"/>
      <w:tblW w:w="5000" w:type="pct"/>
      <w:tblLook w:val="04A0" w:firstRow="1" w:lastRow="0" w:firstColumn="1" w:lastColumn="0" w:noHBand="0" w:noVBand="1"/>
    </w:tblPr>
    <w:tblGrid>
      <w:gridCol w:w="5670"/>
      <w:gridCol w:w="3464"/>
    </w:tblGrid>
    <w:tr w:rsidR="009144D7" w:rsidTr="000364E3">
      <w:tc>
        <w:tcPr>
          <w:tcW w:w="5670" w:type="dxa"/>
        </w:tcPr>
        <w:p w:rsidR="009144D7" w:rsidRPr="00166D71" w:rsidRDefault="006F5B88" w:rsidP="00166D71">
          <w:pPr>
            <w:pStyle w:val="Footer"/>
          </w:pPr>
          <w:fldSimple w:instr=" DOCPROPERTY  PreparedFor \* MERGEFORMAT ">
            <w:r w:rsidR="009144D7">
              <w:t xml:space="preserve"> </w:t>
            </w:r>
          </w:fldSimple>
          <w:r w:rsidR="009144D7">
            <w:t xml:space="preserve"> </w:t>
          </w:r>
          <w:r w:rsidR="009144D7">
            <w:fldChar w:fldCharType="begin"/>
          </w:r>
          <w:r w:rsidR="009144D7">
            <w:instrText xml:space="preserve"> DOCPROPERTY  ClientName \* MERGEFORMAT </w:instrText>
          </w:r>
          <w:r w:rsidR="009144D7">
            <w:fldChar w:fldCharType="end"/>
          </w:r>
          <w:r w:rsidR="009144D7" w:rsidRPr="00166D71">
            <w:t xml:space="preserve">  </w:t>
          </w:r>
          <w:fldSimple w:instr=" DOCPROPERTY  ClientNumber \* MERGEFORMAT ">
            <w:r w:rsidR="009144D7">
              <w:t xml:space="preserve"> </w:t>
            </w:r>
          </w:fldSimple>
        </w:p>
        <w:p w:rsidR="009144D7" w:rsidRDefault="009144D7" w:rsidP="00C2143D">
          <w:pPr>
            <w:pStyle w:val="Footer"/>
          </w:pPr>
          <w:r>
            <w:fldChar w:fldCharType="begin"/>
          </w:r>
          <w:r>
            <w:instrText xml:space="preserve"> if </w:instrText>
          </w:r>
          <w:fldSimple w:instr=" DOCPROPERTY  ShowFilePath \* MERGEFORMAT ">
            <w:r>
              <w:instrText>0</w:instrText>
            </w:r>
          </w:fldSimple>
          <w:r>
            <w:instrText xml:space="preserve">  = 1  </w:instrText>
          </w:r>
          <w:fldSimple w:instr=" FILENAME \p   \* MERGEFORMAT ">
            <w:r>
              <w:instrText>Document2</w:instrText>
            </w:r>
          </w:fldSimple>
          <w:r>
            <w:instrText xml:space="preserve">  </w:instrTex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464" w:type="dxa"/>
          <w:vAlign w:val="bottom"/>
        </w:tcPr>
        <w:p w:rsidR="009144D7" w:rsidRDefault="009144D7" w:rsidP="00F044DD">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9144D7" w:rsidRPr="00725883" w:rsidRDefault="009144D7" w:rsidP="00F044DD">
          <w:pPr>
            <w:pStyle w:val="Footer"/>
            <w:jc w:val="right"/>
          </w:pPr>
        </w:p>
      </w:tc>
    </w:tr>
  </w:tbl>
  <w:p w:rsidR="009144D7" w:rsidRDefault="009144D7" w:rsidP="00493C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4D7" w:rsidRDefault="009144D7"/>
  <w:tbl>
    <w:tblPr>
      <w:tblStyle w:val="Plaingrid"/>
      <w:tblW w:w="5000" w:type="pct"/>
      <w:tblLook w:val="04A0" w:firstRow="1" w:lastRow="0" w:firstColumn="1" w:lastColumn="0" w:noHBand="0" w:noVBand="1"/>
    </w:tblPr>
    <w:tblGrid>
      <w:gridCol w:w="5670"/>
      <w:gridCol w:w="3464"/>
    </w:tblGrid>
    <w:tr w:rsidR="009144D7" w:rsidTr="000364E3">
      <w:tc>
        <w:tcPr>
          <w:tcW w:w="5670" w:type="dxa"/>
        </w:tcPr>
        <w:p w:rsidR="009144D7" w:rsidRPr="00166D71" w:rsidRDefault="006F5B88" w:rsidP="00166D71">
          <w:pPr>
            <w:pStyle w:val="Footer"/>
          </w:pPr>
          <w:fldSimple w:instr=" DOCPROPERTY  PreparedFor \* MERGEFORMAT ">
            <w:r w:rsidR="009144D7">
              <w:t xml:space="preserve"> </w:t>
            </w:r>
          </w:fldSimple>
          <w:r w:rsidR="009144D7">
            <w:t xml:space="preserve"> </w:t>
          </w:r>
          <w:r w:rsidR="009144D7">
            <w:fldChar w:fldCharType="begin"/>
          </w:r>
          <w:r w:rsidR="009144D7">
            <w:instrText xml:space="preserve"> DOCPROPERTY  ClientName \* MERGEFORMAT </w:instrText>
          </w:r>
          <w:r w:rsidR="009144D7">
            <w:fldChar w:fldCharType="end"/>
          </w:r>
          <w:r w:rsidR="009144D7" w:rsidRPr="00166D71">
            <w:t xml:space="preserve">  </w:t>
          </w:r>
          <w:fldSimple w:instr=" DOCPROPERTY  ClientNumber \* MERGEFORMAT ">
            <w:r w:rsidR="009144D7">
              <w:t xml:space="preserve"> </w:t>
            </w:r>
          </w:fldSimple>
        </w:p>
        <w:p w:rsidR="009144D7" w:rsidRDefault="009144D7" w:rsidP="00C2143D">
          <w:pPr>
            <w:pStyle w:val="Footer"/>
          </w:pPr>
          <w:r>
            <w:fldChar w:fldCharType="begin"/>
          </w:r>
          <w:r>
            <w:instrText xml:space="preserve"> if </w:instrText>
          </w:r>
          <w:fldSimple w:instr=" DOCPROPERTY  ShowFilePath \* MERGEFORMAT ">
            <w:r>
              <w:instrText>0</w:instrText>
            </w:r>
          </w:fldSimple>
          <w:r>
            <w:instrText xml:space="preserve">  = 1  </w:instrText>
          </w:r>
          <w:fldSimple w:instr=" FILENAME \p  \* MERGEFORMAT ">
            <w:r>
              <w:instrText>Document2</w:instrText>
            </w:r>
          </w:fldSimple>
          <w:r>
            <w:instrText xml:space="preserve">  </w:instrTex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464" w:type="dxa"/>
          <w:vAlign w:val="bottom"/>
        </w:tcPr>
        <w:p w:rsidR="009144D7" w:rsidRDefault="009144D7" w:rsidP="000364E3">
          <w:pPr>
            <w:pStyle w:val="Footer"/>
            <w:jc w:val="right"/>
          </w:pPr>
          <w:r>
            <w:t>AECOM</w:t>
          </w: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rsidR="009144D7" w:rsidRPr="00725883" w:rsidRDefault="009144D7" w:rsidP="00A608EB">
          <w:pPr>
            <w:pStyle w:val="Footer"/>
            <w:jc w:val="right"/>
          </w:pPr>
          <w:r>
            <w:fldChar w:fldCharType="begin"/>
          </w:r>
          <w:r>
            <w:instrText xml:space="preserve"> page </w:instrText>
          </w:r>
          <w:r>
            <w:fldChar w:fldCharType="separate"/>
          </w:r>
          <w:r w:rsidR="008D2376">
            <w:t>58</w:t>
          </w:r>
          <w:r>
            <w:fldChar w:fldCharType="end"/>
          </w:r>
        </w:p>
      </w:tc>
    </w:tr>
  </w:tbl>
  <w:p w:rsidR="009144D7" w:rsidRDefault="009144D7"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B88" w:rsidRPr="00253171" w:rsidRDefault="006F5B88"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rsidR="006F5B88" w:rsidRPr="00253171" w:rsidRDefault="006F5B88"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rsidR="009144D7" w:rsidRDefault="009144D7">
      <w:pPr>
        <w:pStyle w:val="FootnoteText"/>
      </w:pPr>
      <w:r>
        <w:rPr>
          <w:rStyle w:val="FootnoteReference"/>
        </w:rPr>
        <w:footnoteRef/>
      </w:r>
      <w:r>
        <w:t xml:space="preserve"> </w:t>
      </w:r>
      <w:proofErr w:type="spellStart"/>
      <w:r>
        <w:rPr>
          <w:lang w:val="en-US"/>
        </w:rPr>
        <w:t>Chichester</w:t>
      </w:r>
      <w:proofErr w:type="spellEnd"/>
      <w:r>
        <w:rPr>
          <w:lang w:val="en-US"/>
        </w:rPr>
        <w:t xml:space="preserve"> Local Plan, page 56</w:t>
      </w:r>
    </w:p>
  </w:footnote>
  <w:footnote w:id="2">
    <w:p w:rsidR="009144D7" w:rsidRPr="00B25544" w:rsidRDefault="009144D7" w:rsidP="00B50BCE">
      <w:pPr>
        <w:pStyle w:val="FootnoteText"/>
        <w:rPr>
          <w:sz w:val="18"/>
          <w:szCs w:val="18"/>
        </w:rPr>
      </w:pPr>
      <w:r w:rsidRPr="00B25544">
        <w:rPr>
          <w:rStyle w:val="FootnoteReference"/>
          <w:sz w:val="18"/>
          <w:szCs w:val="18"/>
        </w:rPr>
        <w:footnoteRef/>
      </w:r>
      <w:r w:rsidRPr="00B25544">
        <w:rPr>
          <w:sz w:val="18"/>
          <w:szCs w:val="18"/>
        </w:rPr>
        <w:t xml:space="preserve"> </w:t>
      </w:r>
      <w:r w:rsidRPr="00B25544">
        <w:rPr>
          <w:rFonts w:ascii="Arial" w:hAnsi="Arial" w:cs="Arial"/>
          <w:sz w:val="18"/>
          <w:szCs w:val="18"/>
        </w:rPr>
        <w:t>See Planning Practice Guidance Paragraph: 006 Reference ID: 2a-006-20140306</w:t>
      </w:r>
    </w:p>
  </w:footnote>
  <w:footnote w:id="3">
    <w:p w:rsidR="009144D7" w:rsidRPr="00B25544" w:rsidRDefault="009144D7">
      <w:pPr>
        <w:pStyle w:val="FootnoteText"/>
        <w:rPr>
          <w:sz w:val="18"/>
          <w:szCs w:val="18"/>
        </w:rPr>
      </w:pPr>
      <w:r w:rsidRPr="00B25544">
        <w:rPr>
          <w:rStyle w:val="FootnoteReference"/>
          <w:sz w:val="18"/>
          <w:szCs w:val="18"/>
        </w:rPr>
        <w:footnoteRef/>
      </w:r>
      <w:r w:rsidRPr="00B25544">
        <w:rPr>
          <w:sz w:val="18"/>
          <w:szCs w:val="18"/>
        </w:rPr>
        <w:t xml:space="preserve"> See Planning Practice Guidance, Paragraph: 004 Reference ID: 2a-004-20140306 Revision date: 06 03 2014</w:t>
      </w:r>
    </w:p>
  </w:footnote>
  <w:footnote w:id="4">
    <w:p w:rsidR="009144D7" w:rsidRPr="00A96D26" w:rsidRDefault="009144D7" w:rsidP="000A1903">
      <w:pPr>
        <w:pStyle w:val="FootnoteText"/>
        <w:rPr>
          <w:color w:val="FF0000"/>
        </w:rPr>
      </w:pPr>
      <w:r w:rsidRPr="00B25544">
        <w:rPr>
          <w:rStyle w:val="FootnoteReference"/>
          <w:sz w:val="18"/>
          <w:szCs w:val="18"/>
        </w:rPr>
        <w:footnoteRef/>
      </w:r>
      <w:r w:rsidRPr="00B25544">
        <w:rPr>
          <w:sz w:val="18"/>
          <w:szCs w:val="18"/>
        </w:rPr>
        <w:t xml:space="preserve"> Such an approach, clearly separating housing need assessment from dwelling capacity assessment, was endorsed by the Government for calculating housing need at local authority level in the ministerial statement and press release ‘Councils must protect our precious green belt land’ (</w:t>
      </w:r>
      <w:r w:rsidR="00B25544">
        <w:rPr>
          <w:sz w:val="18"/>
          <w:szCs w:val="18"/>
        </w:rPr>
        <w:t>MHCLG</w:t>
      </w:r>
      <w:r w:rsidRPr="00B25544">
        <w:rPr>
          <w:sz w:val="18"/>
          <w:szCs w:val="18"/>
        </w:rPr>
        <w:t xml:space="preserve">, 4 October 2014, available at </w:t>
      </w:r>
      <w:hyperlink r:id="rId1" w:history="1">
        <w:r w:rsidRPr="00B25544">
          <w:rPr>
            <w:rStyle w:val="Hyperlink"/>
            <w:rFonts w:ascii="Arial" w:hAnsi="Arial" w:cs="Arial"/>
            <w:color w:val="auto"/>
            <w:sz w:val="18"/>
            <w:szCs w:val="18"/>
          </w:rPr>
          <w:t>https://www.gov.uk/government/news/councils-must-protect-our-precious-green-belt-land</w:t>
        </w:r>
      </w:hyperlink>
      <w:r w:rsidRPr="00B25544">
        <w:rPr>
          <w:sz w:val="18"/>
          <w:szCs w:val="18"/>
        </w:rPr>
        <w:t>)</w:t>
      </w:r>
    </w:p>
  </w:footnote>
  <w:footnote w:id="5">
    <w:p w:rsidR="009144D7" w:rsidRDefault="009144D7">
      <w:pPr>
        <w:pStyle w:val="FootnoteText"/>
      </w:pPr>
      <w:r>
        <w:rPr>
          <w:rStyle w:val="FootnoteReference"/>
        </w:rPr>
        <w:footnoteRef/>
      </w:r>
      <w:r>
        <w:t xml:space="preserve"> </w:t>
      </w:r>
      <w:r w:rsidRPr="00605F8C">
        <w:rPr>
          <w:rFonts w:ascii="Arial" w:hAnsi="Arial" w:cs="Arial"/>
          <w:szCs w:val="16"/>
        </w:rPr>
        <w:t>Housing LIN (2011) Strategic Housing for Older People: Planning, designing and delivering housing that older people want, available online at: http://www.housinglin.org.uk/_library/Resources/Housing/SHOP/SHOPResourcePack.pdf</w:t>
      </w:r>
    </w:p>
  </w:footnote>
  <w:footnote w:id="6">
    <w:p w:rsidR="009144D7" w:rsidRDefault="009144D7">
      <w:pPr>
        <w:pStyle w:val="FootnoteText"/>
      </w:pPr>
      <w:r>
        <w:rPr>
          <w:rStyle w:val="FootnoteReference"/>
        </w:rPr>
        <w:footnoteRef/>
      </w:r>
      <w:r>
        <w:t xml:space="preserve"> CWSS12 page 42</w:t>
      </w:r>
    </w:p>
  </w:footnote>
  <w:footnote w:id="7">
    <w:p w:rsidR="009144D7" w:rsidRPr="00357560" w:rsidRDefault="009144D7" w:rsidP="00D25C66">
      <w:pPr>
        <w:pStyle w:val="FootnoteText"/>
      </w:pPr>
      <w:r>
        <w:rPr>
          <w:rStyle w:val="FootnoteReference"/>
        </w:rPr>
        <w:footnoteRef/>
      </w:r>
      <w:r>
        <w:t xml:space="preserve"> </w:t>
      </w:r>
      <w:r w:rsidRPr="00357560">
        <w:t>Planning Practice Guidance Paragraph: 010 Reference ID: 2a-010-20140306 Revision date: 06 03 2014</w:t>
      </w:r>
    </w:p>
  </w:footnote>
  <w:footnote w:id="8">
    <w:p w:rsidR="009144D7" w:rsidRPr="00D47689" w:rsidRDefault="009144D7" w:rsidP="00D25C66">
      <w:pPr>
        <w:pStyle w:val="FootnoteText"/>
      </w:pPr>
      <w:r>
        <w:rPr>
          <w:rStyle w:val="FootnoteReference"/>
        </w:rPr>
        <w:footnoteRef/>
      </w:r>
      <w:r>
        <w:t xml:space="preserve"> </w:t>
      </w:r>
      <w:r w:rsidRPr="00D47689">
        <w:t>Planning Practice Guidance Paragraph: 008 Reference ID: 2a-008-20140306 Revision date: 06 03 2014</w:t>
      </w:r>
    </w:p>
  </w:footnote>
  <w:footnote w:id="9">
    <w:p w:rsidR="009144D7" w:rsidRDefault="009144D7">
      <w:pPr>
        <w:pStyle w:val="FootnoteText"/>
      </w:pPr>
      <w:r>
        <w:rPr>
          <w:rStyle w:val="FootnoteReference"/>
        </w:rPr>
        <w:footnoteRef/>
      </w:r>
      <w:r>
        <w:t xml:space="preserve"> CWSS12 page 44</w:t>
      </w:r>
    </w:p>
  </w:footnote>
  <w:footnote w:id="10">
    <w:p w:rsidR="009144D7" w:rsidRDefault="009144D7" w:rsidP="00654232">
      <w:pPr>
        <w:pStyle w:val="FootnoteText"/>
      </w:pPr>
      <w:r>
        <w:rPr>
          <w:rStyle w:val="FootnoteReference"/>
        </w:rPr>
        <w:footnoteRef/>
      </w:r>
      <w:r>
        <w:t xml:space="preserve"> </w:t>
      </w:r>
      <w:r w:rsidRPr="001062C2">
        <w:rPr>
          <w:rFonts w:ascii="Arial" w:hAnsi="Arial" w:cs="Arial"/>
          <w:sz w:val="18"/>
          <w:szCs w:val="18"/>
        </w:rPr>
        <w:t>The OAN includes the baseline demographic need, plus any adjustments made to official forecasts to account for projected rates of household formation post 2021, past suppression of the formation of new households, the effect of past under-supply, employment forecasts, market signals and affordable housing need (as set out in paragraph ID2a-004 of the PPG).  This is sometimes described as ‘policy off’ because it does not take account of final policy responses as a result of taking into account capacity, environmental and infrastructure constraints.</w:t>
      </w:r>
    </w:p>
  </w:footnote>
  <w:footnote w:id="11">
    <w:p w:rsidR="009144D7" w:rsidRDefault="009144D7">
      <w:pPr>
        <w:pStyle w:val="FootnoteText"/>
      </w:pPr>
      <w:r>
        <w:rPr>
          <w:rStyle w:val="FootnoteReference"/>
        </w:rPr>
        <w:footnoteRef/>
      </w:r>
      <w:r>
        <w:t xml:space="preserve"> </w:t>
      </w:r>
      <w:r w:rsidRPr="00481B5F">
        <w:t xml:space="preserve">Review of Objectively Assessed Housing Need in light of 2012-based Subnational Population Projections, Chichester </w:t>
      </w:r>
      <w:r>
        <w:t>District</w:t>
      </w:r>
      <w:r w:rsidRPr="00481B5F">
        <w:t xml:space="preserve"> Council, August 2014</w:t>
      </w:r>
      <w:r>
        <w:t>, page 8</w:t>
      </w:r>
    </w:p>
  </w:footnote>
  <w:footnote w:id="12">
    <w:p w:rsidR="009144D7" w:rsidRPr="008B7FBB" w:rsidRDefault="009144D7" w:rsidP="00654232">
      <w:pPr>
        <w:pStyle w:val="FootnoteText"/>
        <w:rPr>
          <w:rFonts w:ascii="Arial" w:hAnsi="Arial" w:cs="Arial"/>
        </w:rPr>
      </w:pPr>
      <w:r w:rsidRPr="008B7FBB">
        <w:rPr>
          <w:rStyle w:val="FootnoteReference"/>
          <w:rFonts w:ascii="Arial" w:hAnsi="Arial"/>
        </w:rPr>
        <w:footnoteRef/>
      </w:r>
      <w:r w:rsidRPr="008B7FBB">
        <w:rPr>
          <w:rFonts w:ascii="Arial" w:hAnsi="Arial" w:cs="Arial"/>
        </w:rPr>
        <w:t xml:space="preserve"> See 2014-based </w:t>
      </w:r>
      <w:r w:rsidR="00B25544">
        <w:rPr>
          <w:rFonts w:ascii="Arial" w:hAnsi="Arial" w:cs="Arial"/>
        </w:rPr>
        <w:t>MHCLG</w:t>
      </w:r>
      <w:r w:rsidRPr="008B7FBB">
        <w:rPr>
          <w:rFonts w:ascii="Arial" w:hAnsi="Arial" w:cs="Arial"/>
        </w:rPr>
        <w:t xml:space="preserve"> Household Projections live tables at https://www.gov.uk/government/statistical-data-sets/live-tables-on-household-projections</w:t>
      </w:r>
    </w:p>
  </w:footnote>
  <w:footnote w:id="13">
    <w:p w:rsidR="009144D7" w:rsidRPr="00ED2CE5" w:rsidRDefault="009144D7" w:rsidP="00654232">
      <w:pPr>
        <w:pStyle w:val="FootnoteText"/>
      </w:pPr>
      <w:r>
        <w:rPr>
          <w:rStyle w:val="FootnoteReference"/>
        </w:rPr>
        <w:footnoteRef/>
      </w:r>
      <w:r>
        <w:t xml:space="preserve"> Email from AREA Borough Council, 14/02/17</w:t>
      </w:r>
    </w:p>
  </w:footnote>
  <w:footnote w:id="14">
    <w:p w:rsidR="002075C9" w:rsidRDefault="002075C9">
      <w:pPr>
        <w:pStyle w:val="FootnoteText"/>
      </w:pPr>
      <w:r>
        <w:rPr>
          <w:rStyle w:val="FootnoteReference"/>
        </w:rPr>
        <w:footnoteRef/>
      </w:r>
      <w:r>
        <w:t xml:space="preserve"> MHCLG, </w:t>
      </w:r>
      <w:r w:rsidRPr="00E37D86">
        <w:rPr>
          <w:u w:val="single"/>
        </w:rPr>
        <w:t>planning for the right homes in the right places: consultation proposals</w:t>
      </w:r>
      <w:r>
        <w:t>, page 28</w:t>
      </w:r>
    </w:p>
  </w:footnote>
  <w:footnote w:id="15">
    <w:p w:rsidR="009144D7" w:rsidRDefault="009144D7" w:rsidP="00654232">
      <w:pPr>
        <w:pStyle w:val="FootnoteText"/>
      </w:pPr>
      <w:r>
        <w:rPr>
          <w:rStyle w:val="FootnoteReference"/>
        </w:rPr>
        <w:footnoteRef/>
      </w:r>
      <w:r>
        <w:t xml:space="preserve"> </w:t>
      </w:r>
      <w:r w:rsidR="00B25544">
        <w:t>MHCLG</w:t>
      </w:r>
      <w:r>
        <w:t xml:space="preserve">, </w:t>
      </w:r>
      <w:r w:rsidRPr="00E37D86">
        <w:rPr>
          <w:u w:val="single"/>
        </w:rPr>
        <w:t>planning for the right homes in the right places: consultation proposals</w:t>
      </w:r>
      <w:r>
        <w:t>, page 31</w:t>
      </w:r>
    </w:p>
  </w:footnote>
  <w:footnote w:id="16">
    <w:p w:rsidR="009144D7" w:rsidRDefault="009144D7" w:rsidP="0028000E">
      <w:pPr>
        <w:pStyle w:val="FootnoteText"/>
      </w:pPr>
      <w:r w:rsidRPr="001B4D89">
        <w:rPr>
          <w:rStyle w:val="FootnoteReference"/>
          <w:rFonts w:ascii="Arial" w:hAnsi="Arial" w:cs="Arial"/>
        </w:rPr>
        <w:footnoteRef/>
      </w:r>
      <w:r w:rsidRPr="001B4D89">
        <w:rPr>
          <w:rFonts w:ascii="Arial" w:hAnsi="Arial" w:cs="Arial"/>
        </w:rPr>
        <w:t xml:space="preserve"> PPG </w:t>
      </w:r>
      <w:r w:rsidRPr="001B4D89">
        <w:rPr>
          <w:rFonts w:ascii="Arial" w:hAnsi="Arial" w:cs="Arial"/>
          <w:color w:val="0B0C0C"/>
          <w:shd w:val="clear" w:color="auto" w:fill="FFFFFF"/>
        </w:rPr>
        <w:t>Paragraph: 021 Reference ID: 2a-021-20160401</w:t>
      </w:r>
    </w:p>
  </w:footnote>
  <w:footnote w:id="17">
    <w:p w:rsidR="009144D7" w:rsidRPr="005D04BF" w:rsidRDefault="009144D7" w:rsidP="0028000E">
      <w:pPr>
        <w:pStyle w:val="FootnoteText"/>
      </w:pPr>
      <w:r>
        <w:rPr>
          <w:rStyle w:val="FootnoteReference"/>
        </w:rPr>
        <w:footnoteRef/>
      </w:r>
      <w:r>
        <w:t xml:space="preserve"> </w:t>
      </w:r>
      <w:r w:rsidRPr="001366DF">
        <w:t>Housing and Planning Act 2016, part 6, section 159 (4)</w:t>
      </w:r>
    </w:p>
  </w:footnote>
  <w:footnote w:id="18">
    <w:p w:rsidR="009144D7" w:rsidRPr="005D04BF" w:rsidRDefault="009144D7" w:rsidP="0028000E">
      <w:pPr>
        <w:pStyle w:val="FootnoteText"/>
      </w:pPr>
      <w:r>
        <w:rPr>
          <w:rStyle w:val="FootnoteReference"/>
        </w:rPr>
        <w:footnoteRef/>
      </w:r>
      <w:r>
        <w:t xml:space="preserve"> </w:t>
      </w:r>
      <w:r w:rsidRPr="001366DF">
        <w:t>Section 159(2) of the Act inserts ‘(3ZB) No regulations may be made under section 106ZB [which contains the updated definition of affordable housing] unless a draft of the instrument containing the regulations has been laid before, and approved by a resolution of, each House of Parliament’</w:t>
      </w:r>
    </w:p>
  </w:footnote>
  <w:footnote w:id="19">
    <w:p w:rsidR="009144D7" w:rsidRPr="005D04BF" w:rsidRDefault="009144D7" w:rsidP="0028000E">
      <w:pPr>
        <w:pStyle w:val="FootnoteText"/>
      </w:pPr>
      <w:r>
        <w:rPr>
          <w:rStyle w:val="FootnoteReference"/>
        </w:rPr>
        <w:footnoteRef/>
      </w:r>
      <w:r>
        <w:t xml:space="preserve"> </w:t>
      </w:r>
      <w:r w:rsidR="00B25544">
        <w:t>MHCLG</w:t>
      </w:r>
      <w:r>
        <w:t xml:space="preserve"> (2017) Fixing our Broken Housing Market (para A.120)</w:t>
      </w:r>
    </w:p>
  </w:footnote>
  <w:footnote w:id="20">
    <w:p w:rsidR="009144D7" w:rsidRPr="005D04BF" w:rsidRDefault="009144D7" w:rsidP="0028000E">
      <w:pPr>
        <w:pStyle w:val="FootnoteText"/>
      </w:pPr>
      <w:r>
        <w:rPr>
          <w:rStyle w:val="FootnoteReference"/>
        </w:rPr>
        <w:footnoteRef/>
      </w:r>
      <w:r>
        <w:t xml:space="preserve"> Ibid (p100)</w:t>
      </w:r>
    </w:p>
  </w:footnote>
  <w:footnote w:id="21">
    <w:p w:rsidR="009144D7" w:rsidRDefault="009144D7">
      <w:pPr>
        <w:pStyle w:val="FootnoteText"/>
      </w:pPr>
      <w:r>
        <w:rPr>
          <w:rStyle w:val="FootnoteReference"/>
        </w:rPr>
        <w:footnoteRef/>
      </w:r>
      <w:r>
        <w:t xml:space="preserve"> </w:t>
      </w:r>
      <w:r w:rsidRPr="0052332B">
        <w:rPr>
          <w:lang w:val="en-US"/>
        </w:rPr>
        <w:t>ROANH14</w:t>
      </w:r>
      <w:r>
        <w:rPr>
          <w:lang w:val="en-US"/>
        </w:rPr>
        <w:t>, page 24</w:t>
      </w:r>
    </w:p>
  </w:footnote>
  <w:footnote w:id="22">
    <w:p w:rsidR="009144D7" w:rsidRDefault="009144D7">
      <w:pPr>
        <w:pStyle w:val="FootnoteText"/>
      </w:pPr>
      <w:r>
        <w:rPr>
          <w:rStyle w:val="FootnoteReference"/>
        </w:rPr>
        <w:footnoteRef/>
      </w:r>
      <w:r>
        <w:t xml:space="preserve"> </w:t>
      </w:r>
      <w:r w:rsidRPr="006713D2">
        <w:t>CWSS12</w:t>
      </w:r>
      <w:r>
        <w:t>, page 44</w:t>
      </w:r>
    </w:p>
  </w:footnote>
  <w:footnote w:id="23">
    <w:p w:rsidR="009144D7" w:rsidRDefault="009144D7">
      <w:pPr>
        <w:pStyle w:val="FootnoteText"/>
      </w:pPr>
      <w:r>
        <w:rPr>
          <w:rStyle w:val="FootnoteReference"/>
        </w:rPr>
        <w:footnoteRef/>
      </w:r>
      <w:r>
        <w:t xml:space="preserve"> </w:t>
      </w:r>
      <w:r w:rsidRPr="0087026F">
        <w:rPr>
          <w:lang w:val="en-US"/>
        </w:rPr>
        <w:t>AHDNS14</w:t>
      </w:r>
      <w:r>
        <w:rPr>
          <w:lang w:val="en-US"/>
        </w:rPr>
        <w:t>, page 22</w:t>
      </w:r>
    </w:p>
  </w:footnote>
  <w:footnote w:id="24">
    <w:p w:rsidR="009144D7" w:rsidRDefault="009144D7">
      <w:pPr>
        <w:pStyle w:val="FootnoteText"/>
      </w:pPr>
      <w:r>
        <w:rPr>
          <w:rStyle w:val="FootnoteReference"/>
        </w:rPr>
        <w:footnoteRef/>
      </w:r>
      <w:r>
        <w:t xml:space="preserve"> Henry Adams, Estate Agent Questionnaire, 15/12/17</w:t>
      </w:r>
    </w:p>
  </w:footnote>
  <w:footnote w:id="25">
    <w:p w:rsidR="009144D7" w:rsidRDefault="009144D7">
      <w:pPr>
        <w:pStyle w:val="FootnoteText"/>
      </w:pPr>
      <w:r>
        <w:rPr>
          <w:rStyle w:val="FootnoteReference"/>
        </w:rPr>
        <w:footnoteRef/>
      </w:r>
      <w:r>
        <w:t xml:space="preserve"> Email dated 3</w:t>
      </w:r>
      <w:r w:rsidRPr="00EF789D">
        <w:rPr>
          <w:vertAlign w:val="superscript"/>
        </w:rPr>
        <w:t>rd</w:t>
      </w:r>
      <w:r>
        <w:t xml:space="preserve"> October from </w:t>
      </w:r>
      <w:r w:rsidRPr="00EF789D">
        <w:t xml:space="preserve">Holly Nicol, Rural Housing Enabler, Housing Delivery, Chichester </w:t>
      </w:r>
      <w:r>
        <w:t>District</w:t>
      </w:r>
      <w:r w:rsidRPr="00EF789D">
        <w:t xml:space="preserve"> Council</w:t>
      </w:r>
    </w:p>
  </w:footnote>
  <w:footnote w:id="26">
    <w:p w:rsidR="009144D7" w:rsidRPr="00AD615D" w:rsidRDefault="009144D7" w:rsidP="0021554C">
      <w:pPr>
        <w:pStyle w:val="FootnoteText"/>
        <w:rPr>
          <w:szCs w:val="16"/>
        </w:rPr>
      </w:pPr>
      <w:r>
        <w:rPr>
          <w:rStyle w:val="FootnoteReference"/>
        </w:rPr>
        <w:footnoteRef/>
      </w:r>
      <w:r>
        <w:t xml:space="preserve"> </w:t>
      </w:r>
      <w:r w:rsidRPr="00AD615D">
        <w:rPr>
          <w:szCs w:val="16"/>
        </w:rPr>
        <w:t>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w:t>
      </w:r>
      <w:r>
        <w:rPr>
          <w:szCs w:val="16"/>
        </w:rPr>
        <w:t xml:space="preserve"> </w:t>
      </w:r>
      <w:r w:rsidRPr="00AD615D">
        <w:rPr>
          <w:szCs w:val="16"/>
        </w:rPr>
        <w:t>There are many different types of scheme, both to rent and to buy. They usually contain between 15 and 40 properties, and range in size from studio flats (or 'bedsits'</w:t>
      </w:r>
      <w:r>
        <w:rPr>
          <w:szCs w:val="16"/>
        </w:rPr>
        <w:t xml:space="preserve">) through to 2 and 3 bedroomed. </w:t>
      </w:r>
      <w:r w:rsidRPr="00AD615D">
        <w:rPr>
          <w:szCs w:val="16"/>
        </w:rPr>
        <w:t>Properties in most schemes are designed to make life a little easier for older people - with features like raised electric sockets, lowered worktops, walk-in showers, and so on. Some will usually be designed to accommodate wheelchair users. And they are usually linked to an emergency alarm service (sometimes called 'community alarm se</w:t>
      </w:r>
      <w:r>
        <w:rPr>
          <w:szCs w:val="16"/>
        </w:rPr>
        <w:t xml:space="preserve">rvice') to call help if needed. </w:t>
      </w:r>
      <w:r w:rsidRPr="00AD615D">
        <w:rPr>
          <w:szCs w:val="16"/>
        </w:rPr>
        <w:t>Many schemes also have their own 'manager' or 'warden', either living on-site or nearby, whose job is to manage the scheme and help arrange any services residents need. Managed schemes will also usually have some shared or communal facilities such as a lounge for residents to meet, a laundry, a guest flat and a garden.</w:t>
      </w:r>
      <w:r>
        <w:rPr>
          <w:szCs w:val="16"/>
        </w:rPr>
        <w:t xml:space="preserve"> Source: </w:t>
      </w:r>
      <w:hyperlink r:id="rId2" w:history="1">
        <w:r w:rsidRPr="00854CDC">
          <w:rPr>
            <w:rStyle w:val="Hyperlink"/>
            <w:szCs w:val="16"/>
          </w:rPr>
          <w:t>http://www.housingcare.org/jargon-sheltered-housing.aspx</w:t>
        </w:r>
      </w:hyperlink>
      <w:r>
        <w:rPr>
          <w:szCs w:val="16"/>
        </w:rPr>
        <w:t xml:space="preserve"> (accessed 11/04/17)</w:t>
      </w:r>
    </w:p>
  </w:footnote>
  <w:footnote w:id="27">
    <w:p w:rsidR="009144D7" w:rsidRPr="00AD615D" w:rsidRDefault="009144D7" w:rsidP="0021554C">
      <w:pPr>
        <w:pStyle w:val="FootnoteText"/>
        <w:rPr>
          <w:szCs w:val="16"/>
        </w:rPr>
      </w:pPr>
      <w:r>
        <w:rPr>
          <w:rStyle w:val="FootnoteReference"/>
        </w:rPr>
        <w:footnoteRef/>
      </w:r>
      <w:r>
        <w:t xml:space="preserve"> </w:t>
      </w:r>
      <w:r w:rsidRPr="00AD615D">
        <w:rPr>
          <w:szCs w:val="16"/>
        </w:rPr>
        <w:t xml:space="preserve">New forms of sheltered housing and retirement housing have been pioneered in recent years, to cater for older people who are becoming </w:t>
      </w:r>
      <w:proofErr w:type="gramStart"/>
      <w:r w:rsidRPr="00AD615D">
        <w:rPr>
          <w:szCs w:val="16"/>
        </w:rPr>
        <w:t>more frail</w:t>
      </w:r>
      <w:proofErr w:type="gramEnd"/>
      <w:r w:rsidRPr="00AD615D">
        <w:rPr>
          <w:szCs w:val="16"/>
        </w:rPr>
        <w:t xml:space="preserve"> and less able t</w:t>
      </w:r>
      <w:r>
        <w:rPr>
          <w:szCs w:val="16"/>
        </w:rPr>
        <w:t xml:space="preserve">o do everything for themselves. </w:t>
      </w:r>
      <w:r w:rsidRPr="00AD615D">
        <w:rPr>
          <w:szCs w:val="16"/>
        </w:rPr>
        <w:t>Extra Care Housing is housing designed with the needs of frailer older people in mind and with varying levels of care and support available on site. People who live in Extra Care Housing have their own self-contained homes, their own front doors and a legal right to occupy the property. Extra Care Housing is also known as very or enhanced sheltered housing, assisted living, or simply as 'housing with care'. It comes in many built forms, including blocks of flats, bungalow estates and retirement villages. It is a popular choice among older people because it can sometimes provide</w:t>
      </w:r>
      <w:r>
        <w:rPr>
          <w:szCs w:val="16"/>
        </w:rPr>
        <w:t xml:space="preserve"> an alternative to a care home. </w:t>
      </w:r>
      <w:r w:rsidRPr="00AD615D">
        <w:rPr>
          <w:szCs w:val="16"/>
        </w:rPr>
        <w:t>In addition to the communal facilities often found in sheltered housing (residents' lounge, guest suite, laundry), Extra Care often includes a restaurant or dining room, health &amp; fitness facilities, hobby rooms and even computer rooms. Domestic support and personal care are available, usually provided by on-site staff. Properties can be rented, owned or part owned/part rented. There is a limited (though increasing) amount of Extra Care Housing in most areas and most providers set eligibility criteria which prospective residents have to meet.</w:t>
      </w:r>
      <w:r>
        <w:rPr>
          <w:szCs w:val="16"/>
        </w:rPr>
        <w:t xml:space="preserve"> </w:t>
      </w:r>
      <w:hyperlink r:id="rId3" w:history="1">
        <w:r w:rsidRPr="00854CDC">
          <w:rPr>
            <w:rStyle w:val="Hyperlink"/>
            <w:szCs w:val="16"/>
          </w:rPr>
          <w:t>http://www.housingcare.org/jargon-extra-care-housing.aspx</w:t>
        </w:r>
      </w:hyperlink>
      <w:r>
        <w:rPr>
          <w:szCs w:val="16"/>
        </w:rPr>
        <w:t xml:space="preserve"> (accessed 11/04/17)</w:t>
      </w:r>
    </w:p>
  </w:footnote>
  <w:footnote w:id="28">
    <w:p w:rsidR="009144D7" w:rsidRPr="0044355F" w:rsidRDefault="009144D7" w:rsidP="00150472">
      <w:pPr>
        <w:pStyle w:val="FootnoteText"/>
      </w:pPr>
      <w:r>
        <w:rPr>
          <w:rStyle w:val="FootnoteReference"/>
        </w:rPr>
        <w:footnoteRef/>
      </w:r>
      <w:r>
        <w:t xml:space="preserve"> </w:t>
      </w:r>
      <w:r w:rsidRPr="00605F8C">
        <w:rPr>
          <w:rFonts w:ascii="Arial" w:hAnsi="Arial" w:cs="Arial"/>
          <w:szCs w:val="16"/>
        </w:rPr>
        <w:t>Housing LIN (2011) Strategic Housing for Older People: Planning, designing and delivering housing that older people want, available online at: http://www.housinglin.org.uk/_library/Resources/Housing/SHOP/SHOPResourcePack.pdf</w:t>
      </w:r>
    </w:p>
  </w:footnote>
  <w:footnote w:id="29">
    <w:p w:rsidR="009144D7" w:rsidRPr="0099464B" w:rsidRDefault="009144D7" w:rsidP="0021554C">
      <w:pPr>
        <w:pStyle w:val="FootnoteText"/>
      </w:pPr>
      <w:r>
        <w:rPr>
          <w:rStyle w:val="FootnoteReference"/>
        </w:rPr>
        <w:footnoteRef/>
      </w:r>
      <w:r>
        <w:t xml:space="preserve"> </w:t>
      </w:r>
      <w:hyperlink r:id="rId4" w:history="1">
        <w:r w:rsidRPr="00605F8C">
          <w:rPr>
            <w:rStyle w:val="Hyperlink"/>
            <w:szCs w:val="16"/>
          </w:rPr>
          <w:t>http://www.featherstonecohousing.co.uk/</w:t>
        </w:r>
      </w:hyperlink>
      <w:r w:rsidRPr="00605F8C">
        <w:rPr>
          <w:szCs w:val="16"/>
        </w:rPr>
        <w:t xml:space="preserve"> (visited 12/04/17)</w:t>
      </w:r>
    </w:p>
  </w:footnote>
  <w:footnote w:id="30">
    <w:p w:rsidR="009144D7" w:rsidRPr="0099464B" w:rsidRDefault="009144D7" w:rsidP="0021554C">
      <w:pPr>
        <w:pStyle w:val="FootnoteText"/>
      </w:pPr>
      <w:r>
        <w:rPr>
          <w:rStyle w:val="FootnoteReference"/>
        </w:rPr>
        <w:footnoteRef/>
      </w:r>
      <w:r>
        <w:t xml:space="preserve"> </w:t>
      </w:r>
      <w:r w:rsidRPr="00605F8C">
        <w:rPr>
          <w:szCs w:val="16"/>
        </w:rPr>
        <w:t>http://www.lilac.coop/ (visited 12/04/17)</w:t>
      </w:r>
    </w:p>
  </w:footnote>
  <w:footnote w:id="31">
    <w:p w:rsidR="009144D7" w:rsidRPr="00152645" w:rsidRDefault="009144D7" w:rsidP="0021554C">
      <w:pPr>
        <w:pStyle w:val="FootnoteText"/>
      </w:pPr>
      <w:r>
        <w:rPr>
          <w:rStyle w:val="FootnoteReference"/>
        </w:rPr>
        <w:footnoteRef/>
      </w:r>
      <w:r>
        <w:t xml:space="preserve"> </w:t>
      </w:r>
      <w:r w:rsidRPr="00152645">
        <w:rPr>
          <w:szCs w:val="16"/>
        </w:rPr>
        <w:t xml:space="preserve">RIBA, </w:t>
      </w:r>
      <w:r w:rsidRPr="00152645">
        <w:rPr>
          <w:szCs w:val="16"/>
          <w:u w:val="single"/>
        </w:rPr>
        <w:t>Silver Linings, The Active Third Age and the City</w:t>
      </w:r>
      <w:r w:rsidRPr="00152645">
        <w:rPr>
          <w:szCs w:val="16"/>
        </w:rPr>
        <w:t>, Page 17-18</w:t>
      </w:r>
    </w:p>
  </w:footnote>
  <w:footnote w:id="32">
    <w:p w:rsidR="009144D7" w:rsidRPr="00605F8C" w:rsidRDefault="009144D7" w:rsidP="0021554C">
      <w:pPr>
        <w:pStyle w:val="FootnoteText"/>
      </w:pPr>
      <w:r>
        <w:rPr>
          <w:rStyle w:val="FootnoteReference"/>
        </w:rPr>
        <w:footnoteRef/>
      </w:r>
      <w:r>
        <w:t xml:space="preserve"> </w:t>
      </w:r>
      <w:r w:rsidRPr="00605F8C">
        <w:rPr>
          <w:szCs w:val="16"/>
        </w:rPr>
        <w:t>http://www.lifetimehomes.org.uk/pages/about-us.html</w:t>
      </w:r>
    </w:p>
  </w:footnote>
  <w:footnote w:id="33">
    <w:p w:rsidR="009144D7" w:rsidRPr="000D33CC" w:rsidRDefault="009144D7" w:rsidP="0021554C">
      <w:pPr>
        <w:pStyle w:val="FootnoteText"/>
      </w:pPr>
      <w:r>
        <w:rPr>
          <w:rStyle w:val="FootnoteReference"/>
        </w:rPr>
        <w:footnoteRef/>
      </w:r>
      <w:r>
        <w:t xml:space="preserve"> </w:t>
      </w:r>
      <w:r w:rsidRPr="000D33CC">
        <w:rPr>
          <w:szCs w:val="16"/>
        </w:rPr>
        <w:t>Housing LIN, New Approaches to Housing for Older People, June 2014, page 6</w:t>
      </w:r>
    </w:p>
  </w:footnote>
  <w:footnote w:id="34">
    <w:p w:rsidR="009144D7" w:rsidRPr="00DF4EB0" w:rsidRDefault="009144D7" w:rsidP="0021554C">
      <w:pPr>
        <w:pStyle w:val="FootnoteText"/>
      </w:pPr>
      <w:r>
        <w:rPr>
          <w:rStyle w:val="FootnoteReference"/>
        </w:rPr>
        <w:footnoteRef/>
      </w:r>
      <w:r>
        <w:t xml:space="preserve"> </w:t>
      </w:r>
      <w:proofErr w:type="spellStart"/>
      <w:r w:rsidRPr="00237A56">
        <w:rPr>
          <w:szCs w:val="16"/>
        </w:rPr>
        <w:t>Gobber</w:t>
      </w:r>
      <w:proofErr w:type="spellEnd"/>
      <w:r w:rsidRPr="00237A56">
        <w:rPr>
          <w:szCs w:val="16"/>
        </w:rPr>
        <w:t xml:space="preserve">, S, </w:t>
      </w:r>
      <w:r w:rsidRPr="00237A56">
        <w:rPr>
          <w:szCs w:val="16"/>
          <w:u w:val="single"/>
        </w:rPr>
        <w:t>A Bright Grey Future</w:t>
      </w:r>
      <w:r w:rsidRPr="00237A56">
        <w:rPr>
          <w:szCs w:val="16"/>
        </w:rPr>
        <w:t>, Urban Design Group Journal, Spring 2016, page 29</w:t>
      </w:r>
    </w:p>
  </w:footnote>
  <w:footnote w:id="35">
    <w:p w:rsidR="009144D7" w:rsidRDefault="009144D7" w:rsidP="0021554C">
      <w:pPr>
        <w:pStyle w:val="FootnoteText"/>
      </w:pPr>
      <w:r>
        <w:rPr>
          <w:rStyle w:val="FootnoteReference"/>
        </w:rPr>
        <w:footnoteRef/>
      </w:r>
      <w:r>
        <w:t xml:space="preserve"> HMG, </w:t>
      </w:r>
      <w:r w:rsidRPr="00DC2F07">
        <w:rPr>
          <w:u w:val="single"/>
        </w:rPr>
        <w:t>Fixing our broken housing market</w:t>
      </w:r>
      <w:r>
        <w:t>, page 29</w:t>
      </w:r>
    </w:p>
  </w:footnote>
  <w:footnote w:id="36">
    <w:p w:rsidR="009144D7" w:rsidRDefault="009144D7" w:rsidP="0021554C">
      <w:pPr>
        <w:pStyle w:val="FootnoteText"/>
      </w:pPr>
      <w:r>
        <w:rPr>
          <w:rStyle w:val="FootnoteReference"/>
        </w:rPr>
        <w:footnoteRef/>
      </w:r>
      <w:r>
        <w:t xml:space="preserve"> RIBA/Age UK, An Alternative Age-Friendly Handbook, page 54/55</w:t>
      </w:r>
    </w:p>
  </w:footnote>
  <w:footnote w:id="37">
    <w:p w:rsidR="009144D7" w:rsidRDefault="009144D7" w:rsidP="0021554C">
      <w:pPr>
        <w:pStyle w:val="FootnoteText"/>
      </w:pPr>
      <w:r>
        <w:rPr>
          <w:rStyle w:val="FootnoteReference"/>
        </w:rPr>
        <w:footnoteRef/>
      </w:r>
      <w:r>
        <w:t xml:space="preserve"> RIBA/Age UK, An Alternative Age-Friendly Handbook, page 16</w:t>
      </w:r>
    </w:p>
  </w:footnote>
  <w:footnote w:id="38">
    <w:p w:rsidR="009144D7" w:rsidRDefault="009144D7" w:rsidP="0021554C">
      <w:pPr>
        <w:pStyle w:val="FootnoteText"/>
      </w:pPr>
      <w:r>
        <w:rPr>
          <w:rStyle w:val="FootnoteReference"/>
        </w:rPr>
        <w:footnoteRef/>
      </w:r>
      <w:r>
        <w:t xml:space="preserve"> </w:t>
      </w:r>
      <w:r w:rsidRPr="005E6F3D">
        <w:t>World Health Organisation: Global age-friendly cities: a guide, page</w:t>
      </w:r>
      <w:r>
        <w:t xml:space="preserve"> 32</w:t>
      </w:r>
    </w:p>
  </w:footnote>
  <w:footnote w:id="39">
    <w:p w:rsidR="009144D7" w:rsidRDefault="009144D7" w:rsidP="0021554C">
      <w:pPr>
        <w:pStyle w:val="FootnoteText"/>
      </w:pPr>
      <w:r>
        <w:rPr>
          <w:rStyle w:val="FootnoteReference"/>
        </w:rPr>
        <w:footnoteRef/>
      </w:r>
      <w:r>
        <w:t xml:space="preserve"> Ibid, page 33</w:t>
      </w:r>
    </w:p>
  </w:footnote>
  <w:footnote w:id="40">
    <w:p w:rsidR="009144D7" w:rsidRDefault="009144D7" w:rsidP="0021554C">
      <w:pPr>
        <w:pStyle w:val="FootnoteText"/>
      </w:pPr>
      <w:r>
        <w:rPr>
          <w:rStyle w:val="FootnoteReference"/>
        </w:rPr>
        <w:footnoteRef/>
      </w:r>
      <w:r>
        <w:t xml:space="preserve"> Ibid, page 35</w:t>
      </w:r>
    </w:p>
  </w:footnote>
  <w:footnote w:id="41">
    <w:p w:rsidR="009144D7" w:rsidRDefault="009144D7" w:rsidP="0021554C">
      <w:pPr>
        <w:pStyle w:val="FootnoteText"/>
      </w:pPr>
      <w:r>
        <w:rPr>
          <w:rStyle w:val="FootnoteReference"/>
        </w:rPr>
        <w:footnoteRef/>
      </w:r>
      <w:r>
        <w:t xml:space="preserve"> Alzheimer’s Society, </w:t>
      </w:r>
      <w:r w:rsidRPr="00233111">
        <w:rPr>
          <w:u w:val="single"/>
        </w:rPr>
        <w:t>Dementia-friendly housing charter</w:t>
      </w:r>
      <w:r>
        <w:t>, page 13</w:t>
      </w:r>
    </w:p>
  </w:footnote>
  <w:footnote w:id="42">
    <w:p w:rsidR="009144D7" w:rsidRPr="00F429B7" w:rsidRDefault="009144D7" w:rsidP="0021554C">
      <w:pPr>
        <w:pStyle w:val="FootnoteText"/>
      </w:pPr>
      <w:r>
        <w:rPr>
          <w:rStyle w:val="FootnoteReference"/>
        </w:rPr>
        <w:footnoteRef/>
      </w:r>
      <w:r>
        <w:t xml:space="preserve"> NPPF, para 50</w:t>
      </w:r>
    </w:p>
  </w:footnote>
  <w:footnote w:id="43">
    <w:p w:rsidR="009144D7" w:rsidRPr="002234DE" w:rsidRDefault="009144D7" w:rsidP="004B4774">
      <w:pPr>
        <w:pStyle w:val="FootnoteText"/>
      </w:pPr>
      <w:r>
        <w:rPr>
          <w:rStyle w:val="FootnoteReference"/>
        </w:rPr>
        <w:footnoteRef/>
      </w:r>
      <w:r>
        <w:t xml:space="preserve"> </w:t>
      </w:r>
      <w:r w:rsidRPr="002234DE">
        <w:t>http://planningguidance.communities.gov.uk/blog/guidance/housing-and-economic-development-needs-assessments/methodology-assessing-housing-need/#paragraph_019</w:t>
      </w:r>
    </w:p>
  </w:footnote>
  <w:footnote w:id="44">
    <w:p w:rsidR="009144D7" w:rsidRPr="002234DE" w:rsidRDefault="009144D7" w:rsidP="004B4774">
      <w:pPr>
        <w:pStyle w:val="FootnoteText"/>
      </w:pPr>
      <w:r>
        <w:rPr>
          <w:rStyle w:val="FootnoteReference"/>
        </w:rPr>
        <w:footnoteRef/>
      </w:r>
      <w:r>
        <w:t xml:space="preserve"> </w:t>
      </w:r>
      <w:r w:rsidRPr="002234DE">
        <w:t>http://planningguidance.communities.gov.uk/blog/guidance/housing-and-economic-development-needs-assessments/methodology-assessing-housing-need/#paragraph_020</w:t>
      </w:r>
    </w:p>
  </w:footnote>
  <w:footnote w:id="45">
    <w:p w:rsidR="009144D7" w:rsidRDefault="009144D7" w:rsidP="004B4774">
      <w:pPr>
        <w:pStyle w:val="FootnoteText"/>
      </w:pPr>
      <w:r>
        <w:rPr>
          <w:rStyle w:val="FootnoteReference"/>
        </w:rPr>
        <w:footnoteRef/>
      </w:r>
      <w:r>
        <w:t xml:space="preserve"> </w:t>
      </w:r>
      <w:proofErr w:type="gramStart"/>
      <w:r>
        <w:t>LEPSEP, pp.32.</w:t>
      </w:r>
      <w:proofErr w:type="gramEnd"/>
    </w:p>
  </w:footnote>
  <w:footnote w:id="46">
    <w:p w:rsidR="009144D7" w:rsidRDefault="009144D7" w:rsidP="004B4774">
      <w:pPr>
        <w:pStyle w:val="FootnoteText"/>
      </w:pPr>
      <w:r>
        <w:rPr>
          <w:rStyle w:val="FootnoteReference"/>
        </w:rPr>
        <w:footnoteRef/>
      </w:r>
      <w:r>
        <w:t xml:space="preserve"> </w:t>
      </w:r>
      <w:proofErr w:type="gramStart"/>
      <w:r>
        <w:t>CLP, pp.17.</w:t>
      </w:r>
      <w:proofErr w:type="gramEnd"/>
    </w:p>
  </w:footnote>
  <w:footnote w:id="47">
    <w:p w:rsidR="009144D7" w:rsidRDefault="009144D7" w:rsidP="004B4774">
      <w:pPr>
        <w:pStyle w:val="FootnoteText"/>
      </w:pPr>
      <w:r>
        <w:rPr>
          <w:rStyle w:val="FootnoteReference"/>
        </w:rPr>
        <w:footnoteRef/>
      </w:r>
      <w:r>
        <w:t xml:space="preserve"> </w:t>
      </w:r>
      <w:proofErr w:type="gramStart"/>
      <w:r>
        <w:t>CLP, pp.42.</w:t>
      </w:r>
      <w:proofErr w:type="gramEnd"/>
    </w:p>
  </w:footnote>
  <w:footnote w:id="48">
    <w:p w:rsidR="009144D7" w:rsidRDefault="009144D7" w:rsidP="004B4774">
      <w:pPr>
        <w:pStyle w:val="FootnoteText"/>
      </w:pPr>
      <w:r>
        <w:rPr>
          <w:rStyle w:val="FootnoteReference"/>
        </w:rPr>
        <w:footnoteRef/>
      </w:r>
      <w:r>
        <w:t xml:space="preserve"> </w:t>
      </w:r>
      <w:proofErr w:type="gramStart"/>
      <w:r>
        <w:t>CLP, pp.41.</w:t>
      </w:r>
      <w:proofErr w:type="gramEnd"/>
    </w:p>
  </w:footnote>
  <w:footnote w:id="49">
    <w:p w:rsidR="009144D7" w:rsidRDefault="009144D7" w:rsidP="004B4774">
      <w:pPr>
        <w:pStyle w:val="FootnoteText"/>
      </w:pPr>
      <w:r>
        <w:rPr>
          <w:rStyle w:val="FootnoteReference"/>
        </w:rPr>
        <w:footnoteRef/>
      </w:r>
      <w:r>
        <w:t xml:space="preserve"> </w:t>
      </w:r>
      <w:proofErr w:type="gramStart"/>
      <w:r>
        <w:t>CLP, pp.19.</w:t>
      </w:r>
      <w:proofErr w:type="gramEnd"/>
    </w:p>
  </w:footnote>
  <w:footnote w:id="50">
    <w:p w:rsidR="009144D7" w:rsidRDefault="009144D7" w:rsidP="004B4774">
      <w:pPr>
        <w:pStyle w:val="FootnoteText"/>
      </w:pPr>
      <w:r>
        <w:rPr>
          <w:rStyle w:val="FootnoteReference"/>
        </w:rPr>
        <w:footnoteRef/>
      </w:r>
      <w:r>
        <w:t xml:space="preserve"> </w:t>
      </w:r>
      <w:proofErr w:type="gramStart"/>
      <w:r>
        <w:t>LEPSEP, pp.23.</w:t>
      </w:r>
      <w:proofErr w:type="gramEnd"/>
    </w:p>
  </w:footnote>
  <w:footnote w:id="51">
    <w:p w:rsidR="009144D7" w:rsidRDefault="009144D7" w:rsidP="004B4774">
      <w:pPr>
        <w:pStyle w:val="FootnoteText"/>
      </w:pPr>
      <w:r>
        <w:rPr>
          <w:rStyle w:val="FootnoteReference"/>
        </w:rPr>
        <w:footnoteRef/>
      </w:r>
      <w:r>
        <w:t xml:space="preserve"> </w:t>
      </w:r>
      <w:proofErr w:type="gramStart"/>
      <w:r>
        <w:t>CLP, pp.23.</w:t>
      </w:r>
      <w:proofErr w:type="gramEnd"/>
    </w:p>
  </w:footnote>
  <w:footnote w:id="52">
    <w:p w:rsidR="009144D7" w:rsidRDefault="009144D7" w:rsidP="004B4774">
      <w:pPr>
        <w:pStyle w:val="FootnoteText"/>
      </w:pPr>
      <w:r>
        <w:rPr>
          <w:rStyle w:val="FootnoteReference"/>
        </w:rPr>
        <w:footnoteRef/>
      </w:r>
      <w:r>
        <w:t xml:space="preserve"> </w:t>
      </w:r>
      <w:proofErr w:type="gramStart"/>
      <w:r>
        <w:t>LEPSEP, pp.68.</w:t>
      </w:r>
      <w:proofErr w:type="gramEnd"/>
    </w:p>
  </w:footnote>
  <w:footnote w:id="53">
    <w:p w:rsidR="009144D7" w:rsidRDefault="009144D7" w:rsidP="004B4774">
      <w:pPr>
        <w:pStyle w:val="FootnoteText"/>
      </w:pPr>
      <w:r>
        <w:rPr>
          <w:rStyle w:val="FootnoteReference"/>
        </w:rPr>
        <w:footnoteRef/>
      </w:r>
      <w:r>
        <w:t xml:space="preserve"> </w:t>
      </w:r>
      <w:proofErr w:type="gramStart"/>
      <w:r>
        <w:t>SHMA, pp.104.</w:t>
      </w:r>
      <w:proofErr w:type="gramEnd"/>
    </w:p>
  </w:footnote>
  <w:footnote w:id="54">
    <w:p w:rsidR="009144D7" w:rsidRDefault="009144D7" w:rsidP="004B4774">
      <w:pPr>
        <w:pStyle w:val="FootnoteText"/>
      </w:pPr>
      <w:r>
        <w:rPr>
          <w:rStyle w:val="FootnoteReference"/>
        </w:rPr>
        <w:footnoteRef/>
      </w:r>
      <w:r>
        <w:t xml:space="preserve"> Ibid.</w:t>
      </w:r>
    </w:p>
  </w:footnote>
  <w:footnote w:id="55">
    <w:p w:rsidR="009144D7" w:rsidRDefault="009144D7" w:rsidP="004B4774">
      <w:pPr>
        <w:pStyle w:val="FootnoteText"/>
      </w:pPr>
      <w:r>
        <w:rPr>
          <w:rStyle w:val="FootnoteReference"/>
        </w:rPr>
        <w:footnoteRef/>
      </w:r>
      <w:r>
        <w:t xml:space="preserve"> </w:t>
      </w:r>
      <w:hyperlink r:id="rId5" w:history="1">
        <w:r w:rsidRPr="00B15665">
          <w:rPr>
            <w:rStyle w:val="Hyperlink"/>
          </w:rPr>
          <w:t>http://webarchive.nationalarchives.gov.uk/20160105222245/http://www.ons.gov.uk/ons/rel/census/2011-census-analysis/what-does-the-2011-census-tell-us-about-concealed-families-living-in-multi-family-households-in-england-and-wales-/sty-what-does-the-2011-census-tell-us-about-concealed-families.html</w:t>
        </w:r>
      </w:hyperlink>
      <w:r>
        <w:t xml:space="preserve"> (visited 13/10/17)</w:t>
      </w:r>
    </w:p>
  </w:footnote>
  <w:footnote w:id="56">
    <w:p w:rsidR="009144D7" w:rsidRDefault="009144D7" w:rsidP="00435EAC">
      <w:pPr>
        <w:pStyle w:val="FootnoteText"/>
      </w:pPr>
      <w:r>
        <w:rPr>
          <w:rStyle w:val="FootnoteReference"/>
        </w:rPr>
        <w:footnoteRef/>
      </w:r>
      <w:r>
        <w:t xml:space="preserve"> </w:t>
      </w:r>
      <w:r w:rsidRPr="00605F8C">
        <w:rPr>
          <w:rFonts w:ascii="Arial" w:hAnsi="Arial" w:cs="Arial"/>
          <w:szCs w:val="16"/>
        </w:rPr>
        <w:t>Housing LIN (2011) Strategic Housing for Older People: Planning, designing and delivering housing that older people want, available online at: http://www.housinglin.org.uk/_library/Resources/Housing/SHOP/SHOPResourcePack.pdf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035"/>
      <w:gridCol w:w="3060"/>
      <w:gridCol w:w="3039"/>
    </w:tblGrid>
    <w:tr w:rsidR="009144D7" w:rsidTr="00DC18A9">
      <w:trPr>
        <w:trHeight w:val="460"/>
      </w:trPr>
      <w:tc>
        <w:tcPr>
          <w:tcW w:w="3035" w:type="dxa"/>
        </w:tcPr>
        <w:p w:rsidR="009144D7" w:rsidRDefault="009144D7">
          <w:pPr>
            <w:pStyle w:val="Header"/>
          </w:pPr>
          <w:r>
            <w:t xml:space="preserve">Title needs inserting </w:t>
          </w:r>
          <w:fldSimple w:instr=" DOCPROPERTY  HeaderTitle \* MERGEFORMAT ">
            <w:r>
              <w:t xml:space="preserve">HNA Template </w:t>
            </w:r>
          </w:fldSimple>
        </w:p>
      </w:tc>
      <w:tc>
        <w:tcPr>
          <w:tcW w:w="3060" w:type="dxa"/>
        </w:tcPr>
        <w:p w:rsidR="009144D7" w:rsidRPr="00624CAA" w:rsidRDefault="009144D7"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9144D7" w:rsidRPr="00624CAA" w:rsidRDefault="009144D7"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DRAFT</w:t>
          </w:r>
          <w:r w:rsidRPr="002F3B02">
            <w:rPr>
              <w:b/>
              <w:sz w:val="24"/>
              <w:szCs w:val="24"/>
            </w:rPr>
            <w:fldChar w:fldCharType="end"/>
          </w:r>
        </w:p>
      </w:tc>
      <w:tc>
        <w:tcPr>
          <w:tcW w:w="3039" w:type="dxa"/>
        </w:tcPr>
        <w:p w:rsidR="009144D7" w:rsidRDefault="006F5B88" w:rsidP="00904014">
          <w:pPr>
            <w:pStyle w:val="Header"/>
            <w:tabs>
              <w:tab w:val="left" w:pos="2132"/>
            </w:tabs>
            <w:jc w:val="right"/>
          </w:pPr>
          <w:fldSimple w:instr=" DOCPROPERTY  HeaderClient \* MERGEFORMAT ">
            <w:r w:rsidR="009144D7">
              <w:t xml:space="preserve"> </w:t>
            </w:r>
          </w:fldSimple>
        </w:p>
        <w:p w:rsidR="009144D7" w:rsidRDefault="006F5B88" w:rsidP="00E05BDE">
          <w:pPr>
            <w:pStyle w:val="Header"/>
            <w:jc w:val="right"/>
          </w:pPr>
          <w:fldSimple w:instr=" DOCPROPERTY  ProjectRef \* MERGEFORMAT ">
            <w:r w:rsidR="009144D7">
              <w:t xml:space="preserve"> </w:t>
            </w:r>
          </w:fldSimple>
        </w:p>
        <w:p w:rsidR="009144D7" w:rsidRDefault="006F5B88" w:rsidP="00F97D16">
          <w:pPr>
            <w:pStyle w:val="Header"/>
            <w:jc w:val="right"/>
          </w:pPr>
          <w:fldSimple w:instr=" DOCPROPERTY  ProjectNumber \* MERGEFORMAT ">
            <w:r w:rsidR="009144D7">
              <w:t xml:space="preserve"> </w:t>
            </w:r>
          </w:fldSimple>
        </w:p>
      </w:tc>
    </w:tr>
  </w:tbl>
  <w:p w:rsidR="009144D7" w:rsidRDefault="009144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9144D7" w:rsidRPr="00035BE0">
      <w:trPr>
        <w:trHeight w:val="20"/>
      </w:trPr>
      <w:tc>
        <w:tcPr>
          <w:tcW w:w="3221" w:type="dxa"/>
          <w:noWrap/>
        </w:tcPr>
        <w:p w:rsidR="009144D7" w:rsidRPr="00D35DCB" w:rsidRDefault="009144D7" w:rsidP="00E80CC8">
          <w:r>
            <w:t>AECOM</w:t>
          </w:r>
        </w:p>
      </w:tc>
      <w:tc>
        <w:tcPr>
          <w:tcW w:w="3569" w:type="dxa"/>
          <w:noWrap/>
        </w:tcPr>
        <w:p w:rsidR="009144D7" w:rsidRPr="00687BDA" w:rsidRDefault="009144D7" w:rsidP="00E80CC8"/>
      </w:tc>
      <w:tc>
        <w:tcPr>
          <w:tcW w:w="1832" w:type="dxa"/>
        </w:tcPr>
        <w:p w:rsidR="009144D7" w:rsidRPr="00B70F5C" w:rsidRDefault="009144D7" w:rsidP="00E80CC8"/>
      </w:tc>
      <w:tc>
        <w:tcPr>
          <w:tcW w:w="1458" w:type="dxa"/>
        </w:tcPr>
        <w:p w:rsidR="009144D7" w:rsidRPr="00D35DCB" w:rsidRDefault="009144D7" w:rsidP="00E80CC8">
          <w:r>
            <w:fldChar w:fldCharType="begin"/>
          </w:r>
          <w:r>
            <w:instrText xml:space="preserve"> PAGE   \* MERGEFORMAT </w:instrText>
          </w:r>
          <w:r>
            <w:fldChar w:fldCharType="separate"/>
          </w:r>
          <w:r w:rsidR="008D2376">
            <w:rPr>
              <w:noProof/>
            </w:rPr>
            <w:t>5</w:t>
          </w:r>
          <w:r>
            <w:rPr>
              <w:noProof/>
            </w:rPr>
            <w:fldChar w:fldCharType="end"/>
          </w:r>
        </w:p>
      </w:tc>
    </w:tr>
  </w:tbl>
  <w:p w:rsidR="009144D7" w:rsidRDefault="009144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grid"/>
      <w:tblW w:w="5000" w:type="pct"/>
      <w:tblLook w:val="04A0" w:firstRow="1" w:lastRow="0" w:firstColumn="1" w:lastColumn="0" w:noHBand="0" w:noVBand="1"/>
    </w:tblPr>
    <w:tblGrid>
      <w:gridCol w:w="3828"/>
      <w:gridCol w:w="2267"/>
      <w:gridCol w:w="3039"/>
    </w:tblGrid>
    <w:tr w:rsidR="009144D7" w:rsidTr="00BE0DAB">
      <w:trPr>
        <w:trHeight w:val="483"/>
      </w:trPr>
      <w:tc>
        <w:tcPr>
          <w:tcW w:w="3828" w:type="dxa"/>
        </w:tcPr>
        <w:p w:rsidR="009144D7" w:rsidRDefault="009144D7">
          <w:pPr>
            <w:pStyle w:val="Header"/>
          </w:pPr>
          <w:r>
            <w:t>Checkley Neighbourhood Plan Housing Needs Assessment</w:t>
          </w:r>
        </w:p>
      </w:tc>
      <w:tc>
        <w:tcPr>
          <w:tcW w:w="2267" w:type="dxa"/>
        </w:tcPr>
        <w:p w:rsidR="009144D7" w:rsidRPr="00624CAA" w:rsidRDefault="009144D7"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rsidR="009144D7" w:rsidRPr="00624CAA" w:rsidRDefault="009144D7" w:rsidP="00BE0DAB">
          <w:pPr>
            <w:pStyle w:val="Header"/>
            <w:jc w:val="right"/>
            <w:rPr>
              <w:b/>
              <w:caps/>
              <w:sz w:val="16"/>
              <w:szCs w:val="16"/>
            </w:rPr>
          </w:pPr>
        </w:p>
      </w:tc>
      <w:tc>
        <w:tcPr>
          <w:tcW w:w="3039" w:type="dxa"/>
        </w:tcPr>
        <w:p w:rsidR="009144D7" w:rsidRDefault="006F5B88" w:rsidP="00904014">
          <w:pPr>
            <w:pStyle w:val="Header"/>
            <w:tabs>
              <w:tab w:val="left" w:pos="2132"/>
            </w:tabs>
            <w:jc w:val="right"/>
          </w:pPr>
          <w:fldSimple w:instr=" DOCPROPERTY  HeaderClient \* MERGEFORMAT ">
            <w:r w:rsidR="009144D7">
              <w:t xml:space="preserve"> </w:t>
            </w:r>
          </w:fldSimple>
        </w:p>
        <w:p w:rsidR="009144D7" w:rsidRPr="00BE0DAB" w:rsidRDefault="009144D7" w:rsidP="00BE0DAB">
          <w:pPr>
            <w:pStyle w:val="Header"/>
            <w:jc w:val="center"/>
            <w:rPr>
              <w:b/>
              <w:sz w:val="24"/>
            </w:rPr>
          </w:pPr>
          <w:r w:rsidRPr="00BE0DAB">
            <w:rPr>
              <w:b/>
              <w:sz w:val="24"/>
            </w:rPr>
            <w:t>DRAFT</w:t>
          </w:r>
          <w:r w:rsidRPr="00BE0DAB">
            <w:rPr>
              <w:b/>
              <w:sz w:val="24"/>
            </w:rPr>
            <w:fldChar w:fldCharType="begin"/>
          </w:r>
          <w:r w:rsidRPr="00BE0DAB">
            <w:rPr>
              <w:b/>
              <w:sz w:val="24"/>
            </w:rPr>
            <w:instrText xml:space="preserve"> DOCPROPERTY  ProjectRef \* MERGEFORMAT </w:instrText>
          </w:r>
          <w:r w:rsidRPr="00BE0DAB">
            <w:rPr>
              <w:b/>
              <w:sz w:val="24"/>
            </w:rPr>
            <w:fldChar w:fldCharType="separate"/>
          </w:r>
          <w:r>
            <w:rPr>
              <w:b/>
              <w:sz w:val="24"/>
            </w:rPr>
            <w:t xml:space="preserve"> </w:t>
          </w:r>
          <w:r w:rsidRPr="00BE0DAB">
            <w:rPr>
              <w:b/>
              <w:sz w:val="24"/>
            </w:rPr>
            <w:fldChar w:fldCharType="end"/>
          </w:r>
        </w:p>
        <w:p w:rsidR="009144D7" w:rsidRDefault="006F5B88" w:rsidP="00E05BDE">
          <w:pPr>
            <w:pStyle w:val="Header"/>
            <w:jc w:val="right"/>
          </w:pPr>
          <w:fldSimple w:instr=" DOCPROPERTY  ProjectNumber \* MERGEFORMAT ">
            <w:r w:rsidR="009144D7">
              <w:t xml:space="preserve"> </w:t>
            </w:r>
          </w:fldSimple>
        </w:p>
      </w:tc>
    </w:tr>
  </w:tbl>
  <w:p w:rsidR="009144D7" w:rsidRDefault="00914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3"/>
    <w:multiLevelType w:val="singleLevel"/>
    <w:tmpl w:val="7EF8584A"/>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77628F76"/>
    <w:lvl w:ilvl="0">
      <w:start w:val="1"/>
      <w:numFmt w:val="decimal"/>
      <w:lvlText w:val="%1."/>
      <w:lvlJc w:val="left"/>
      <w:pPr>
        <w:tabs>
          <w:tab w:val="num" w:pos="360"/>
        </w:tabs>
        <w:ind w:left="360" w:hanging="360"/>
      </w:pPr>
    </w:lvl>
  </w:abstractNum>
  <w:abstractNum w:abstractNumId="6">
    <w:nsid w:val="03C12964"/>
    <w:multiLevelType w:val="hybridMultilevel"/>
    <w:tmpl w:val="FED03676"/>
    <w:lvl w:ilvl="0" w:tplc="0809000F">
      <w:start w:val="1"/>
      <w:numFmt w:val="decimal"/>
      <w:lvlText w:val="%1."/>
      <w:lvlJc w:val="left"/>
      <w:pPr>
        <w:ind w:left="720" w:hanging="360"/>
      </w:pPr>
    </w:lvl>
    <w:lvl w:ilvl="1" w:tplc="C0D68C7A">
      <w:numFmt w:val="bullet"/>
      <w:lvlText w:val="•"/>
      <w:lvlJc w:val="left"/>
      <w:pPr>
        <w:ind w:left="1440" w:hanging="360"/>
      </w:pPr>
      <w:rPr>
        <w:rFonts w:ascii="Arial" w:eastAsia="Times New Roman" w:hAnsi="Arial"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nsid w:val="07062655"/>
    <w:multiLevelType w:val="hybridMultilevel"/>
    <w:tmpl w:val="F448FA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8355887"/>
    <w:multiLevelType w:val="hybridMultilevel"/>
    <w:tmpl w:val="F718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D690BAB"/>
    <w:multiLevelType w:val="hybridMultilevel"/>
    <w:tmpl w:val="85E2BA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1EA55A09"/>
    <w:multiLevelType w:val="hybridMultilevel"/>
    <w:tmpl w:val="935EEF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3B62D49"/>
    <w:multiLevelType w:val="hybridMultilevel"/>
    <w:tmpl w:val="057CB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5002B64"/>
    <w:multiLevelType w:val="multilevel"/>
    <w:tmpl w:val="1F0C665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8D35D07"/>
    <w:multiLevelType w:val="hybridMultilevel"/>
    <w:tmpl w:val="0E90E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21">
    <w:nsid w:val="3754570F"/>
    <w:multiLevelType w:val="multilevel"/>
    <w:tmpl w:val="97505A4E"/>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nsid w:val="3B880797"/>
    <w:multiLevelType w:val="hybridMultilevel"/>
    <w:tmpl w:val="DB7A937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nsid w:val="3BE574D7"/>
    <w:multiLevelType w:val="hybridMultilevel"/>
    <w:tmpl w:val="774E7494"/>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25">
    <w:nsid w:val="3EE04896"/>
    <w:multiLevelType w:val="hybridMultilevel"/>
    <w:tmpl w:val="D0F86B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7">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1">
    <w:nsid w:val="51962F48"/>
    <w:multiLevelType w:val="multilevel"/>
    <w:tmpl w:val="4762DD5A"/>
    <w:lvl w:ilvl="0">
      <w:start w:val="1"/>
      <w:numFmt w:val="bullet"/>
      <w:lvlText w:val=""/>
      <w:lvlJc w:val="left"/>
      <w:pPr>
        <w:ind w:left="1145" w:hanging="425"/>
      </w:pPr>
      <w:rPr>
        <w:rFonts w:ascii="Symbol" w:hAnsi="Symbol" w:hint="default"/>
        <w:sz w:val="18"/>
        <w:szCs w:val="18"/>
      </w:rPr>
    </w:lvl>
    <w:lvl w:ilvl="1">
      <w:start w:val="1"/>
      <w:numFmt w:val="lowerLetter"/>
      <w:lvlText w:val="%2."/>
      <w:lvlJc w:val="left"/>
      <w:pPr>
        <w:tabs>
          <w:tab w:val="num" w:pos="1570"/>
        </w:tabs>
        <w:ind w:left="1570" w:hanging="425"/>
      </w:pPr>
      <w:rPr>
        <w:rFonts w:hint="default"/>
      </w:rPr>
    </w:lvl>
    <w:lvl w:ilvl="2">
      <w:start w:val="1"/>
      <w:numFmt w:val="lowerRoman"/>
      <w:lvlText w:val="%3."/>
      <w:lvlJc w:val="left"/>
      <w:pPr>
        <w:tabs>
          <w:tab w:val="num" w:pos="1995"/>
        </w:tabs>
        <w:ind w:left="1995" w:hanging="425"/>
      </w:pPr>
      <w:rPr>
        <w:rFonts w:hint="default"/>
      </w:rPr>
    </w:lvl>
    <w:lvl w:ilvl="3">
      <w:start w:val="1"/>
      <w:numFmt w:val="decimal"/>
      <w:lvlText w:val="%4."/>
      <w:lvlJc w:val="left"/>
      <w:pPr>
        <w:tabs>
          <w:tab w:val="num" w:pos="2420"/>
        </w:tabs>
        <w:ind w:left="2420" w:hanging="425"/>
      </w:pPr>
      <w:rPr>
        <w:rFonts w:hint="default"/>
      </w:rPr>
    </w:lvl>
    <w:lvl w:ilvl="4">
      <w:start w:val="1"/>
      <w:numFmt w:val="lowerLetter"/>
      <w:lvlText w:val="%5."/>
      <w:lvlJc w:val="left"/>
      <w:pPr>
        <w:tabs>
          <w:tab w:val="num" w:pos="2845"/>
        </w:tabs>
        <w:ind w:left="2845" w:hanging="425"/>
      </w:pPr>
      <w:rPr>
        <w:rFonts w:hint="default"/>
      </w:rPr>
    </w:lvl>
    <w:lvl w:ilvl="5">
      <w:start w:val="1"/>
      <w:numFmt w:val="lowerRoman"/>
      <w:lvlText w:val="%6."/>
      <w:lvlJc w:val="right"/>
      <w:pPr>
        <w:tabs>
          <w:tab w:val="num" w:pos="3270"/>
        </w:tabs>
        <w:ind w:left="3270" w:hanging="425"/>
      </w:pPr>
      <w:rPr>
        <w:rFonts w:hint="default"/>
      </w:rPr>
    </w:lvl>
    <w:lvl w:ilvl="6">
      <w:start w:val="1"/>
      <w:numFmt w:val="decimal"/>
      <w:lvlText w:val="%7."/>
      <w:lvlJc w:val="left"/>
      <w:pPr>
        <w:tabs>
          <w:tab w:val="num" w:pos="3695"/>
        </w:tabs>
        <w:ind w:left="3695" w:hanging="425"/>
      </w:pPr>
      <w:rPr>
        <w:rFonts w:hint="default"/>
      </w:rPr>
    </w:lvl>
    <w:lvl w:ilvl="7">
      <w:start w:val="1"/>
      <w:numFmt w:val="lowerLetter"/>
      <w:lvlText w:val="%8."/>
      <w:lvlJc w:val="left"/>
      <w:pPr>
        <w:tabs>
          <w:tab w:val="num" w:pos="4120"/>
        </w:tabs>
        <w:ind w:left="4120" w:hanging="425"/>
      </w:pPr>
      <w:rPr>
        <w:rFonts w:hint="default"/>
      </w:rPr>
    </w:lvl>
    <w:lvl w:ilvl="8">
      <w:start w:val="1"/>
      <w:numFmt w:val="lowerRoman"/>
      <w:lvlText w:val="%9."/>
      <w:lvlJc w:val="right"/>
      <w:pPr>
        <w:tabs>
          <w:tab w:val="num" w:pos="4545"/>
        </w:tabs>
        <w:ind w:left="4545" w:hanging="425"/>
      </w:pPr>
      <w:rPr>
        <w:rFonts w:hint="default"/>
      </w:rPr>
    </w:lvl>
  </w:abstractNum>
  <w:abstractNum w:abstractNumId="32">
    <w:nsid w:val="54AE523E"/>
    <w:multiLevelType w:val="hybridMultilevel"/>
    <w:tmpl w:val="9B742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3D5D63"/>
    <w:multiLevelType w:val="hybridMultilevel"/>
    <w:tmpl w:val="97A04DD8"/>
    <w:lvl w:ilvl="0" w:tplc="5ADE5A42">
      <w:start w:val="1"/>
      <w:numFmt w:val="decimal"/>
      <w:lvlText w:val="%1."/>
      <w:lvlJc w:val="left"/>
      <w:pPr>
        <w:ind w:left="36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571285C"/>
    <w:multiLevelType w:val="multilevel"/>
    <w:tmpl w:val="5442DFBE"/>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35">
    <w:nsid w:val="59D05093"/>
    <w:multiLevelType w:val="hybridMultilevel"/>
    <w:tmpl w:val="BE08D3C2"/>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6">
    <w:nsid w:val="659A027C"/>
    <w:multiLevelType w:val="multilevel"/>
    <w:tmpl w:val="FD1837C8"/>
    <w:lvl w:ilvl="0">
      <w:start w:val="1"/>
      <w:numFmt w:val="decimal"/>
      <w:pStyle w:val="ListNumber"/>
      <w:lvlText w:val="%1."/>
      <w:lvlJc w:val="left"/>
      <w:pPr>
        <w:ind w:left="425" w:hanging="425"/>
      </w:pPr>
      <w:rPr>
        <w:rFonts w:hint="default"/>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7">
    <w:nsid w:val="68FF5876"/>
    <w:multiLevelType w:val="hybridMultilevel"/>
    <w:tmpl w:val="F440BB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EFE498B"/>
    <w:multiLevelType w:val="multilevel"/>
    <w:tmpl w:val="D88893D6"/>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571"/>
        </w:tabs>
        <w:ind w:left="1570"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abstractNum w:abstractNumId="39">
    <w:nsid w:val="6FD6371B"/>
    <w:multiLevelType w:val="multilevel"/>
    <w:tmpl w:val="FF424816"/>
    <w:lvl w:ilvl="0">
      <w:start w:val="102"/>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abstractNumId w:val="26"/>
  </w:num>
  <w:num w:numId="2">
    <w:abstractNumId w:val="30"/>
  </w:num>
  <w:num w:numId="3">
    <w:abstractNumId w:val="3"/>
  </w:num>
  <w:num w:numId="4">
    <w:abstractNumId w:val="2"/>
  </w:num>
  <w:num w:numId="5">
    <w:abstractNumId w:val="1"/>
  </w:num>
  <w:num w:numId="6">
    <w:abstractNumId w:val="0"/>
  </w:num>
  <w:num w:numId="7">
    <w:abstractNumId w:val="9"/>
  </w:num>
  <w:num w:numId="8">
    <w:abstractNumId w:val="13"/>
  </w:num>
  <w:num w:numId="9">
    <w:abstractNumId w:val="34"/>
  </w:num>
  <w:num w:numId="10">
    <w:abstractNumId w:val="10"/>
  </w:num>
  <w:num w:numId="11">
    <w:abstractNumId w:val="16"/>
  </w:num>
  <w:num w:numId="12">
    <w:abstractNumId w:val="27"/>
  </w:num>
  <w:num w:numId="13">
    <w:abstractNumId w:val="12"/>
  </w:num>
  <w:num w:numId="14">
    <w:abstractNumId w:val="38"/>
  </w:num>
  <w:num w:numId="15">
    <w:abstractNumId w:val="36"/>
  </w:num>
  <w:num w:numId="16">
    <w:abstractNumId w:val="20"/>
  </w:num>
  <w:num w:numId="17">
    <w:abstractNumId w:val="22"/>
  </w:num>
  <w:num w:numId="18">
    <w:abstractNumId w:val="22"/>
  </w:num>
  <w:num w:numId="19">
    <w:abstractNumId w:val="29"/>
  </w:num>
  <w:num w:numId="20">
    <w:abstractNumId w:val="7"/>
  </w:num>
  <w:num w:numId="21">
    <w:abstractNumId w:val="28"/>
  </w:num>
  <w:num w:numId="22">
    <w:abstractNumId w:val="23"/>
  </w:num>
  <w:num w:numId="23">
    <w:abstractNumId w:val="25"/>
  </w:num>
  <w:num w:numId="24">
    <w:abstractNumId w:val="24"/>
  </w:num>
  <w:num w:numId="25">
    <w:abstractNumId w:val="31"/>
  </w:num>
  <w:num w:numId="26">
    <w:abstractNumId w:val="5"/>
  </w:num>
  <w:num w:numId="27">
    <w:abstractNumId w:val="17"/>
  </w:num>
  <w:num w:numId="28">
    <w:abstractNumId w:val="33"/>
  </w:num>
  <w:num w:numId="29">
    <w:abstractNumId w:val="8"/>
  </w:num>
  <w:num w:numId="30">
    <w:abstractNumId w:val="6"/>
  </w:num>
  <w:num w:numId="31">
    <w:abstractNumId w:val="35"/>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5"/>
  </w:num>
  <w:num w:numId="35">
    <w:abstractNumId w:val="4"/>
  </w:num>
  <w:num w:numId="36">
    <w:abstractNumId w:val="37"/>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7"/>
    <w:lvlOverride w:ilvl="0">
      <w:startOverride w:val="1"/>
    </w:lvlOverride>
    <w:lvlOverride w:ilvl="1">
      <w:startOverride w:val="1"/>
    </w:lvlOverride>
  </w:num>
  <w:num w:numId="40">
    <w:abstractNumId w:val="11"/>
  </w:num>
  <w:num w:numId="41">
    <w:abstractNumId w:val="18"/>
  </w:num>
  <w:num w:numId="42">
    <w:abstractNumId w:val="39"/>
  </w:num>
  <w:num w:numId="43">
    <w:abstractNumId w:val="3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rbin, Thomas">
    <w15:presenceInfo w15:providerId="None" w15:userId="Corbin,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TextLanguage_ListCount" w:val="0"/>
    <w:docVar w:name="cbTextLanguage_ListIndex" w:val="-1"/>
    <w:docVar w:name="CheckBox2" w:val="0"/>
    <w:docVar w:name="chkChangeCoverImage" w:val="0"/>
    <w:docVar w:name="chkDraft" w:val="-1"/>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33"/>
    <w:docVar w:name="SelectedPageLayout" w:val="3"/>
    <w:docVar w:name="SelectedRegion" w:val="4"/>
    <w:docVar w:name="tbDate" w:val="June 2017"/>
    <w:docVar w:name="tbDocumentTitle" w:val="HNA Template "/>
    <w:docVar w:name="tbFooterDetails" w:val="AECOM Limited registered in England &amp; Wales, company number 880328._x000d__x000a_AECOM House, 63-77 Victoria Street, St Albans, Hertfordshire, AL1 3ER"/>
    <w:docVar w:name="tbImage" w:val="Abstract Cable.jpg"/>
    <w:docVar w:name="tbOfficeAddress" w:val="AECOM Limited_x000d__x000a_Aldgate Tower_x000d__x000a_2 Leman Street_x000d__x000a_London_x000d__x000a_E1 8FA_x000d__x000a_aecom.com"/>
    <w:docVar w:name="TranslateChart" w:val="Chart"/>
    <w:docVar w:name="TranslateFigure" w:val="Figure"/>
    <w:docVar w:name="TranslateTable" w:val="Table"/>
  </w:docVars>
  <w:rsids>
    <w:rsidRoot w:val="005A1F44"/>
    <w:rsid w:val="0000407A"/>
    <w:rsid w:val="00004730"/>
    <w:rsid w:val="0000567F"/>
    <w:rsid w:val="00005796"/>
    <w:rsid w:val="0000621F"/>
    <w:rsid w:val="00007D12"/>
    <w:rsid w:val="00011B0A"/>
    <w:rsid w:val="00013912"/>
    <w:rsid w:val="000144E9"/>
    <w:rsid w:val="000163EB"/>
    <w:rsid w:val="00023F39"/>
    <w:rsid w:val="00024A9C"/>
    <w:rsid w:val="00026EC3"/>
    <w:rsid w:val="00027303"/>
    <w:rsid w:val="0003139A"/>
    <w:rsid w:val="0003173A"/>
    <w:rsid w:val="000349EF"/>
    <w:rsid w:val="0003500D"/>
    <w:rsid w:val="000364E3"/>
    <w:rsid w:val="000375DA"/>
    <w:rsid w:val="00041812"/>
    <w:rsid w:val="0004726B"/>
    <w:rsid w:val="00047FDB"/>
    <w:rsid w:val="00050057"/>
    <w:rsid w:val="0005363D"/>
    <w:rsid w:val="000537D2"/>
    <w:rsid w:val="00053F18"/>
    <w:rsid w:val="0005776B"/>
    <w:rsid w:val="0005782B"/>
    <w:rsid w:val="0006236D"/>
    <w:rsid w:val="000652F7"/>
    <w:rsid w:val="00065DBF"/>
    <w:rsid w:val="000663FA"/>
    <w:rsid w:val="00066A8B"/>
    <w:rsid w:val="00067457"/>
    <w:rsid w:val="0007787E"/>
    <w:rsid w:val="00082023"/>
    <w:rsid w:val="00083354"/>
    <w:rsid w:val="00084291"/>
    <w:rsid w:val="0009153B"/>
    <w:rsid w:val="000923AB"/>
    <w:rsid w:val="00092F8A"/>
    <w:rsid w:val="0009611E"/>
    <w:rsid w:val="000A14DC"/>
    <w:rsid w:val="000A1903"/>
    <w:rsid w:val="000A2D0C"/>
    <w:rsid w:val="000A5E31"/>
    <w:rsid w:val="000A6A13"/>
    <w:rsid w:val="000B28E6"/>
    <w:rsid w:val="000B6AE2"/>
    <w:rsid w:val="000B73C5"/>
    <w:rsid w:val="000B7AA3"/>
    <w:rsid w:val="000C0D5A"/>
    <w:rsid w:val="000C334B"/>
    <w:rsid w:val="000C3C1D"/>
    <w:rsid w:val="000C7B46"/>
    <w:rsid w:val="000D13AF"/>
    <w:rsid w:val="000D2F64"/>
    <w:rsid w:val="000D5A98"/>
    <w:rsid w:val="000E07AF"/>
    <w:rsid w:val="000E44D5"/>
    <w:rsid w:val="000E4587"/>
    <w:rsid w:val="000E7360"/>
    <w:rsid w:val="000F0027"/>
    <w:rsid w:val="000F22FF"/>
    <w:rsid w:val="000F2C08"/>
    <w:rsid w:val="000F5328"/>
    <w:rsid w:val="000F66C9"/>
    <w:rsid w:val="000F6FE4"/>
    <w:rsid w:val="00103597"/>
    <w:rsid w:val="00110478"/>
    <w:rsid w:val="00112827"/>
    <w:rsid w:val="00113319"/>
    <w:rsid w:val="00113736"/>
    <w:rsid w:val="00113896"/>
    <w:rsid w:val="001157B7"/>
    <w:rsid w:val="00115CA4"/>
    <w:rsid w:val="00116072"/>
    <w:rsid w:val="001169AC"/>
    <w:rsid w:val="0011737A"/>
    <w:rsid w:val="0012035C"/>
    <w:rsid w:val="0012093B"/>
    <w:rsid w:val="001244DC"/>
    <w:rsid w:val="0012697D"/>
    <w:rsid w:val="001269E7"/>
    <w:rsid w:val="00127AF4"/>
    <w:rsid w:val="001315BF"/>
    <w:rsid w:val="00132860"/>
    <w:rsid w:val="00133853"/>
    <w:rsid w:val="001343B0"/>
    <w:rsid w:val="00134992"/>
    <w:rsid w:val="00135D79"/>
    <w:rsid w:val="00136720"/>
    <w:rsid w:val="00136AA6"/>
    <w:rsid w:val="00136C29"/>
    <w:rsid w:val="00137944"/>
    <w:rsid w:val="001408A2"/>
    <w:rsid w:val="00142305"/>
    <w:rsid w:val="001430F2"/>
    <w:rsid w:val="00143D54"/>
    <w:rsid w:val="00144B71"/>
    <w:rsid w:val="001453AD"/>
    <w:rsid w:val="00145502"/>
    <w:rsid w:val="00145561"/>
    <w:rsid w:val="0014571E"/>
    <w:rsid w:val="00147691"/>
    <w:rsid w:val="00150472"/>
    <w:rsid w:val="00150531"/>
    <w:rsid w:val="001554A9"/>
    <w:rsid w:val="0016203A"/>
    <w:rsid w:val="00164CB2"/>
    <w:rsid w:val="0016605D"/>
    <w:rsid w:val="00166D71"/>
    <w:rsid w:val="00167804"/>
    <w:rsid w:val="0017116A"/>
    <w:rsid w:val="00173FB0"/>
    <w:rsid w:val="001750DB"/>
    <w:rsid w:val="00176845"/>
    <w:rsid w:val="00177077"/>
    <w:rsid w:val="00177C13"/>
    <w:rsid w:val="00177DEA"/>
    <w:rsid w:val="0018100D"/>
    <w:rsid w:val="0018305D"/>
    <w:rsid w:val="00186090"/>
    <w:rsid w:val="00186702"/>
    <w:rsid w:val="00190CDA"/>
    <w:rsid w:val="001920F8"/>
    <w:rsid w:val="00193189"/>
    <w:rsid w:val="001937F2"/>
    <w:rsid w:val="00193855"/>
    <w:rsid w:val="00196E20"/>
    <w:rsid w:val="001A11B6"/>
    <w:rsid w:val="001A1F61"/>
    <w:rsid w:val="001A2365"/>
    <w:rsid w:val="001A52C9"/>
    <w:rsid w:val="001A52DD"/>
    <w:rsid w:val="001B143D"/>
    <w:rsid w:val="001B1A5F"/>
    <w:rsid w:val="001C07AF"/>
    <w:rsid w:val="001C2925"/>
    <w:rsid w:val="001C2BC0"/>
    <w:rsid w:val="001C2FF7"/>
    <w:rsid w:val="001C3018"/>
    <w:rsid w:val="001C30A9"/>
    <w:rsid w:val="001C5F36"/>
    <w:rsid w:val="001C60EF"/>
    <w:rsid w:val="001C7D04"/>
    <w:rsid w:val="001D1299"/>
    <w:rsid w:val="001D150B"/>
    <w:rsid w:val="001D33BC"/>
    <w:rsid w:val="001D499A"/>
    <w:rsid w:val="001D6E40"/>
    <w:rsid w:val="001E1DB1"/>
    <w:rsid w:val="001E1DC1"/>
    <w:rsid w:val="001E774F"/>
    <w:rsid w:val="001F34A3"/>
    <w:rsid w:val="001F4214"/>
    <w:rsid w:val="001F5E46"/>
    <w:rsid w:val="001F62F6"/>
    <w:rsid w:val="002024D6"/>
    <w:rsid w:val="00203182"/>
    <w:rsid w:val="0020318D"/>
    <w:rsid w:val="00203A4A"/>
    <w:rsid w:val="00204146"/>
    <w:rsid w:val="00205F73"/>
    <w:rsid w:val="002075C9"/>
    <w:rsid w:val="00207657"/>
    <w:rsid w:val="00211BA5"/>
    <w:rsid w:val="002122AA"/>
    <w:rsid w:val="00212B9F"/>
    <w:rsid w:val="00213392"/>
    <w:rsid w:val="002134B0"/>
    <w:rsid w:val="00214171"/>
    <w:rsid w:val="002147C0"/>
    <w:rsid w:val="0021554C"/>
    <w:rsid w:val="002155BC"/>
    <w:rsid w:val="0021591F"/>
    <w:rsid w:val="00215A8B"/>
    <w:rsid w:val="00215FCC"/>
    <w:rsid w:val="00216F12"/>
    <w:rsid w:val="00217CCC"/>
    <w:rsid w:val="0022001F"/>
    <w:rsid w:val="002246BD"/>
    <w:rsid w:val="0022472C"/>
    <w:rsid w:val="00224E3C"/>
    <w:rsid w:val="00226811"/>
    <w:rsid w:val="00230A71"/>
    <w:rsid w:val="00232BBE"/>
    <w:rsid w:val="002340C7"/>
    <w:rsid w:val="002402D4"/>
    <w:rsid w:val="00241364"/>
    <w:rsid w:val="0024247B"/>
    <w:rsid w:val="002427BE"/>
    <w:rsid w:val="0024353A"/>
    <w:rsid w:val="00245043"/>
    <w:rsid w:val="00245426"/>
    <w:rsid w:val="00252C7F"/>
    <w:rsid w:val="00253171"/>
    <w:rsid w:val="00254EC8"/>
    <w:rsid w:val="00255355"/>
    <w:rsid w:val="00255D2D"/>
    <w:rsid w:val="002570E9"/>
    <w:rsid w:val="002603F2"/>
    <w:rsid w:val="002609AD"/>
    <w:rsid w:val="00260D50"/>
    <w:rsid w:val="0026325E"/>
    <w:rsid w:val="00263F55"/>
    <w:rsid w:val="00267154"/>
    <w:rsid w:val="00267AE5"/>
    <w:rsid w:val="00270E14"/>
    <w:rsid w:val="00271B5C"/>
    <w:rsid w:val="002740A7"/>
    <w:rsid w:val="002741BD"/>
    <w:rsid w:val="0027422F"/>
    <w:rsid w:val="002762F6"/>
    <w:rsid w:val="002770A0"/>
    <w:rsid w:val="00277FF1"/>
    <w:rsid w:val="0028000E"/>
    <w:rsid w:val="0028145A"/>
    <w:rsid w:val="00282747"/>
    <w:rsid w:val="00283697"/>
    <w:rsid w:val="0028437E"/>
    <w:rsid w:val="00284C82"/>
    <w:rsid w:val="0029198A"/>
    <w:rsid w:val="002923B7"/>
    <w:rsid w:val="00293C45"/>
    <w:rsid w:val="00296A7A"/>
    <w:rsid w:val="002A7CB9"/>
    <w:rsid w:val="002B1CCC"/>
    <w:rsid w:val="002B1D7D"/>
    <w:rsid w:val="002B27AA"/>
    <w:rsid w:val="002B2BD7"/>
    <w:rsid w:val="002B43D6"/>
    <w:rsid w:val="002B4677"/>
    <w:rsid w:val="002B5A8F"/>
    <w:rsid w:val="002C0C27"/>
    <w:rsid w:val="002C1EDB"/>
    <w:rsid w:val="002C2C4A"/>
    <w:rsid w:val="002C40AE"/>
    <w:rsid w:val="002C4B35"/>
    <w:rsid w:val="002C5D9F"/>
    <w:rsid w:val="002C646C"/>
    <w:rsid w:val="002C7295"/>
    <w:rsid w:val="002C77CB"/>
    <w:rsid w:val="002C78EC"/>
    <w:rsid w:val="002C7E48"/>
    <w:rsid w:val="002D0A70"/>
    <w:rsid w:val="002D1696"/>
    <w:rsid w:val="002D1969"/>
    <w:rsid w:val="002D1F63"/>
    <w:rsid w:val="002D336F"/>
    <w:rsid w:val="002D45C8"/>
    <w:rsid w:val="002D48CC"/>
    <w:rsid w:val="002D51B3"/>
    <w:rsid w:val="002E2115"/>
    <w:rsid w:val="002E6EF9"/>
    <w:rsid w:val="002E6F99"/>
    <w:rsid w:val="002E72EA"/>
    <w:rsid w:val="002F0796"/>
    <w:rsid w:val="002F0C6E"/>
    <w:rsid w:val="002F1F02"/>
    <w:rsid w:val="002F3B02"/>
    <w:rsid w:val="00301623"/>
    <w:rsid w:val="003016A0"/>
    <w:rsid w:val="00302A12"/>
    <w:rsid w:val="00306118"/>
    <w:rsid w:val="00311C82"/>
    <w:rsid w:val="00312994"/>
    <w:rsid w:val="00312E94"/>
    <w:rsid w:val="003130BF"/>
    <w:rsid w:val="00315C27"/>
    <w:rsid w:val="00316CE6"/>
    <w:rsid w:val="00321DD1"/>
    <w:rsid w:val="003227EC"/>
    <w:rsid w:val="00323122"/>
    <w:rsid w:val="00323654"/>
    <w:rsid w:val="00324B62"/>
    <w:rsid w:val="003269DA"/>
    <w:rsid w:val="00327242"/>
    <w:rsid w:val="00327DD0"/>
    <w:rsid w:val="00335C93"/>
    <w:rsid w:val="003405A1"/>
    <w:rsid w:val="00342A65"/>
    <w:rsid w:val="00342FC4"/>
    <w:rsid w:val="00343248"/>
    <w:rsid w:val="00344A00"/>
    <w:rsid w:val="00347538"/>
    <w:rsid w:val="00352A85"/>
    <w:rsid w:val="00354241"/>
    <w:rsid w:val="003572C3"/>
    <w:rsid w:val="003636AD"/>
    <w:rsid w:val="00364FD7"/>
    <w:rsid w:val="003723EF"/>
    <w:rsid w:val="003732CF"/>
    <w:rsid w:val="003742A0"/>
    <w:rsid w:val="003760C4"/>
    <w:rsid w:val="0037743B"/>
    <w:rsid w:val="0037784E"/>
    <w:rsid w:val="00381A26"/>
    <w:rsid w:val="00382551"/>
    <w:rsid w:val="00382CB9"/>
    <w:rsid w:val="00383735"/>
    <w:rsid w:val="00385CC2"/>
    <w:rsid w:val="0038796B"/>
    <w:rsid w:val="00387B7C"/>
    <w:rsid w:val="00387DEF"/>
    <w:rsid w:val="003934D8"/>
    <w:rsid w:val="003964F2"/>
    <w:rsid w:val="00397421"/>
    <w:rsid w:val="003978FB"/>
    <w:rsid w:val="003A0168"/>
    <w:rsid w:val="003A2EED"/>
    <w:rsid w:val="003A3279"/>
    <w:rsid w:val="003A7385"/>
    <w:rsid w:val="003A79BB"/>
    <w:rsid w:val="003B18BF"/>
    <w:rsid w:val="003B219E"/>
    <w:rsid w:val="003B31A5"/>
    <w:rsid w:val="003B36BF"/>
    <w:rsid w:val="003B3A0E"/>
    <w:rsid w:val="003B6C9A"/>
    <w:rsid w:val="003C10A6"/>
    <w:rsid w:val="003C11A1"/>
    <w:rsid w:val="003C29AA"/>
    <w:rsid w:val="003C43E3"/>
    <w:rsid w:val="003C73C8"/>
    <w:rsid w:val="003C77CD"/>
    <w:rsid w:val="003D08F2"/>
    <w:rsid w:val="003D1681"/>
    <w:rsid w:val="003D18C8"/>
    <w:rsid w:val="003D2760"/>
    <w:rsid w:val="003D2814"/>
    <w:rsid w:val="003E04ED"/>
    <w:rsid w:val="003E0B7C"/>
    <w:rsid w:val="003E1070"/>
    <w:rsid w:val="003E2A26"/>
    <w:rsid w:val="003E3DFD"/>
    <w:rsid w:val="003E4FE3"/>
    <w:rsid w:val="003F4CB8"/>
    <w:rsid w:val="003F6F7E"/>
    <w:rsid w:val="003F7459"/>
    <w:rsid w:val="003F7EA0"/>
    <w:rsid w:val="004006F8"/>
    <w:rsid w:val="00400934"/>
    <w:rsid w:val="00400AFF"/>
    <w:rsid w:val="00402B82"/>
    <w:rsid w:val="0040621C"/>
    <w:rsid w:val="00407772"/>
    <w:rsid w:val="0041372D"/>
    <w:rsid w:val="00413BDE"/>
    <w:rsid w:val="00415158"/>
    <w:rsid w:val="00415998"/>
    <w:rsid w:val="00416050"/>
    <w:rsid w:val="0041646A"/>
    <w:rsid w:val="00417649"/>
    <w:rsid w:val="004217B6"/>
    <w:rsid w:val="004231F6"/>
    <w:rsid w:val="004264F1"/>
    <w:rsid w:val="004269A1"/>
    <w:rsid w:val="00426E52"/>
    <w:rsid w:val="00427701"/>
    <w:rsid w:val="004277B5"/>
    <w:rsid w:val="00430718"/>
    <w:rsid w:val="004332A1"/>
    <w:rsid w:val="00433CF8"/>
    <w:rsid w:val="004353E6"/>
    <w:rsid w:val="00435665"/>
    <w:rsid w:val="0043568A"/>
    <w:rsid w:val="00435EAC"/>
    <w:rsid w:val="00437546"/>
    <w:rsid w:val="00440F0C"/>
    <w:rsid w:val="0044100E"/>
    <w:rsid w:val="004444AD"/>
    <w:rsid w:val="004444B4"/>
    <w:rsid w:val="004460FF"/>
    <w:rsid w:val="0045162F"/>
    <w:rsid w:val="0045450D"/>
    <w:rsid w:val="00456A47"/>
    <w:rsid w:val="00460F70"/>
    <w:rsid w:val="00461235"/>
    <w:rsid w:val="004641BD"/>
    <w:rsid w:val="00467014"/>
    <w:rsid w:val="00472275"/>
    <w:rsid w:val="00473BA7"/>
    <w:rsid w:val="0047442C"/>
    <w:rsid w:val="00475C76"/>
    <w:rsid w:val="004775A3"/>
    <w:rsid w:val="0048053F"/>
    <w:rsid w:val="00480F13"/>
    <w:rsid w:val="00481A96"/>
    <w:rsid w:val="00481B5F"/>
    <w:rsid w:val="004864E1"/>
    <w:rsid w:val="00486D5A"/>
    <w:rsid w:val="0048755A"/>
    <w:rsid w:val="00487DA9"/>
    <w:rsid w:val="00490643"/>
    <w:rsid w:val="004908C7"/>
    <w:rsid w:val="004919DB"/>
    <w:rsid w:val="00491D33"/>
    <w:rsid w:val="00493CF1"/>
    <w:rsid w:val="00493F74"/>
    <w:rsid w:val="00495508"/>
    <w:rsid w:val="004A019D"/>
    <w:rsid w:val="004A7221"/>
    <w:rsid w:val="004B4774"/>
    <w:rsid w:val="004C255D"/>
    <w:rsid w:val="004C4813"/>
    <w:rsid w:val="004C4865"/>
    <w:rsid w:val="004D0AF2"/>
    <w:rsid w:val="004D1548"/>
    <w:rsid w:val="004D4675"/>
    <w:rsid w:val="004D4A35"/>
    <w:rsid w:val="004D5792"/>
    <w:rsid w:val="004D6078"/>
    <w:rsid w:val="004D65DF"/>
    <w:rsid w:val="004D69B8"/>
    <w:rsid w:val="004D7826"/>
    <w:rsid w:val="004E059A"/>
    <w:rsid w:val="004E1B08"/>
    <w:rsid w:val="004E43B0"/>
    <w:rsid w:val="004E4AA9"/>
    <w:rsid w:val="004E7534"/>
    <w:rsid w:val="004F2A79"/>
    <w:rsid w:val="004F6E2F"/>
    <w:rsid w:val="00503E92"/>
    <w:rsid w:val="00505488"/>
    <w:rsid w:val="005056EB"/>
    <w:rsid w:val="0050790B"/>
    <w:rsid w:val="00507C4F"/>
    <w:rsid w:val="00511F94"/>
    <w:rsid w:val="00512A4E"/>
    <w:rsid w:val="00512B79"/>
    <w:rsid w:val="005133E5"/>
    <w:rsid w:val="005137B7"/>
    <w:rsid w:val="00513D60"/>
    <w:rsid w:val="00516141"/>
    <w:rsid w:val="0051787A"/>
    <w:rsid w:val="00517F7D"/>
    <w:rsid w:val="005203DD"/>
    <w:rsid w:val="00520AC0"/>
    <w:rsid w:val="00521201"/>
    <w:rsid w:val="0052332B"/>
    <w:rsid w:val="005301D2"/>
    <w:rsid w:val="005354C0"/>
    <w:rsid w:val="00535B8B"/>
    <w:rsid w:val="005374F5"/>
    <w:rsid w:val="00537728"/>
    <w:rsid w:val="005377BA"/>
    <w:rsid w:val="00542152"/>
    <w:rsid w:val="00542F08"/>
    <w:rsid w:val="0054315A"/>
    <w:rsid w:val="0054343F"/>
    <w:rsid w:val="0054374D"/>
    <w:rsid w:val="005453AF"/>
    <w:rsid w:val="0054689D"/>
    <w:rsid w:val="00547C9E"/>
    <w:rsid w:val="0055004B"/>
    <w:rsid w:val="00550A23"/>
    <w:rsid w:val="00550FEA"/>
    <w:rsid w:val="005522BE"/>
    <w:rsid w:val="005522CA"/>
    <w:rsid w:val="00555AFC"/>
    <w:rsid w:val="0055609F"/>
    <w:rsid w:val="00556737"/>
    <w:rsid w:val="00556EBF"/>
    <w:rsid w:val="00560DBB"/>
    <w:rsid w:val="0056313A"/>
    <w:rsid w:val="00566B7C"/>
    <w:rsid w:val="005737F7"/>
    <w:rsid w:val="005750DE"/>
    <w:rsid w:val="005756F4"/>
    <w:rsid w:val="00580F71"/>
    <w:rsid w:val="00582989"/>
    <w:rsid w:val="00591B3F"/>
    <w:rsid w:val="00593748"/>
    <w:rsid w:val="005964DE"/>
    <w:rsid w:val="005A0AF1"/>
    <w:rsid w:val="005A0EAB"/>
    <w:rsid w:val="005A19DC"/>
    <w:rsid w:val="005A1F44"/>
    <w:rsid w:val="005A6A0E"/>
    <w:rsid w:val="005B0062"/>
    <w:rsid w:val="005B11AA"/>
    <w:rsid w:val="005B321B"/>
    <w:rsid w:val="005B3E9A"/>
    <w:rsid w:val="005B4302"/>
    <w:rsid w:val="005B4D40"/>
    <w:rsid w:val="005B7813"/>
    <w:rsid w:val="005C077A"/>
    <w:rsid w:val="005C0C51"/>
    <w:rsid w:val="005C0E4D"/>
    <w:rsid w:val="005C1E4A"/>
    <w:rsid w:val="005C4C2B"/>
    <w:rsid w:val="005C4D58"/>
    <w:rsid w:val="005C52EF"/>
    <w:rsid w:val="005C569E"/>
    <w:rsid w:val="005C5D9E"/>
    <w:rsid w:val="005C6C35"/>
    <w:rsid w:val="005D098B"/>
    <w:rsid w:val="005D0D76"/>
    <w:rsid w:val="005D15E5"/>
    <w:rsid w:val="005D1D67"/>
    <w:rsid w:val="005D2840"/>
    <w:rsid w:val="005D5033"/>
    <w:rsid w:val="005D64F6"/>
    <w:rsid w:val="005E07F5"/>
    <w:rsid w:val="005E1673"/>
    <w:rsid w:val="005E391C"/>
    <w:rsid w:val="005E4697"/>
    <w:rsid w:val="005E690E"/>
    <w:rsid w:val="005F476A"/>
    <w:rsid w:val="005F5CF8"/>
    <w:rsid w:val="005F7AB9"/>
    <w:rsid w:val="006008DE"/>
    <w:rsid w:val="00601502"/>
    <w:rsid w:val="0060626A"/>
    <w:rsid w:val="00606621"/>
    <w:rsid w:val="0060740D"/>
    <w:rsid w:val="006120CE"/>
    <w:rsid w:val="00616244"/>
    <w:rsid w:val="00616C1B"/>
    <w:rsid w:val="00623832"/>
    <w:rsid w:val="00623E11"/>
    <w:rsid w:val="00624CAA"/>
    <w:rsid w:val="00625A5A"/>
    <w:rsid w:val="00630DFC"/>
    <w:rsid w:val="006347B1"/>
    <w:rsid w:val="006354D9"/>
    <w:rsid w:val="006359D6"/>
    <w:rsid w:val="00635A5A"/>
    <w:rsid w:val="00643BA6"/>
    <w:rsid w:val="00643F22"/>
    <w:rsid w:val="00644DB9"/>
    <w:rsid w:val="00646A8B"/>
    <w:rsid w:val="00653608"/>
    <w:rsid w:val="00654232"/>
    <w:rsid w:val="00655083"/>
    <w:rsid w:val="0065674E"/>
    <w:rsid w:val="006620BC"/>
    <w:rsid w:val="00663636"/>
    <w:rsid w:val="00670A38"/>
    <w:rsid w:val="006713D2"/>
    <w:rsid w:val="00673A12"/>
    <w:rsid w:val="00674190"/>
    <w:rsid w:val="006760E5"/>
    <w:rsid w:val="00676FE6"/>
    <w:rsid w:val="00684BAC"/>
    <w:rsid w:val="00687AC1"/>
    <w:rsid w:val="006913C2"/>
    <w:rsid w:val="00692282"/>
    <w:rsid w:val="006973E7"/>
    <w:rsid w:val="006A1681"/>
    <w:rsid w:val="006A3705"/>
    <w:rsid w:val="006A73C0"/>
    <w:rsid w:val="006B0261"/>
    <w:rsid w:val="006B3705"/>
    <w:rsid w:val="006B4663"/>
    <w:rsid w:val="006B4F45"/>
    <w:rsid w:val="006B6036"/>
    <w:rsid w:val="006B6AAC"/>
    <w:rsid w:val="006C05E0"/>
    <w:rsid w:val="006C291A"/>
    <w:rsid w:val="006C2F0A"/>
    <w:rsid w:val="006C3AE4"/>
    <w:rsid w:val="006C4218"/>
    <w:rsid w:val="006C4F04"/>
    <w:rsid w:val="006C72A2"/>
    <w:rsid w:val="006C78A3"/>
    <w:rsid w:val="006D0366"/>
    <w:rsid w:val="006D0802"/>
    <w:rsid w:val="006D2CD1"/>
    <w:rsid w:val="006D30FE"/>
    <w:rsid w:val="006D3975"/>
    <w:rsid w:val="006E10C1"/>
    <w:rsid w:val="006E1140"/>
    <w:rsid w:val="006E1490"/>
    <w:rsid w:val="006E3705"/>
    <w:rsid w:val="006E4F1E"/>
    <w:rsid w:val="006F1862"/>
    <w:rsid w:val="006F18A0"/>
    <w:rsid w:val="006F461B"/>
    <w:rsid w:val="006F5B88"/>
    <w:rsid w:val="007001C0"/>
    <w:rsid w:val="007024FC"/>
    <w:rsid w:val="00703825"/>
    <w:rsid w:val="00704CF8"/>
    <w:rsid w:val="00707379"/>
    <w:rsid w:val="00710D4B"/>
    <w:rsid w:val="00713EA5"/>
    <w:rsid w:val="007178E6"/>
    <w:rsid w:val="007234EF"/>
    <w:rsid w:val="00723A16"/>
    <w:rsid w:val="00724066"/>
    <w:rsid w:val="0072559F"/>
    <w:rsid w:val="00725883"/>
    <w:rsid w:val="00727C03"/>
    <w:rsid w:val="00730EC3"/>
    <w:rsid w:val="00732650"/>
    <w:rsid w:val="0073415E"/>
    <w:rsid w:val="0073521B"/>
    <w:rsid w:val="007422B0"/>
    <w:rsid w:val="0074241F"/>
    <w:rsid w:val="00750AD2"/>
    <w:rsid w:val="00752BBC"/>
    <w:rsid w:val="007545F9"/>
    <w:rsid w:val="00754A06"/>
    <w:rsid w:val="007570F6"/>
    <w:rsid w:val="00757D02"/>
    <w:rsid w:val="007630BE"/>
    <w:rsid w:val="007710AF"/>
    <w:rsid w:val="00772011"/>
    <w:rsid w:val="007743C5"/>
    <w:rsid w:val="00775B25"/>
    <w:rsid w:val="00776618"/>
    <w:rsid w:val="007769E5"/>
    <w:rsid w:val="00780341"/>
    <w:rsid w:val="0078040F"/>
    <w:rsid w:val="00781E9F"/>
    <w:rsid w:val="00783B29"/>
    <w:rsid w:val="00785A24"/>
    <w:rsid w:val="00785E66"/>
    <w:rsid w:val="00790710"/>
    <w:rsid w:val="007924E6"/>
    <w:rsid w:val="00792AAF"/>
    <w:rsid w:val="007935AD"/>
    <w:rsid w:val="007939B0"/>
    <w:rsid w:val="007A6D86"/>
    <w:rsid w:val="007A7602"/>
    <w:rsid w:val="007B0678"/>
    <w:rsid w:val="007B276B"/>
    <w:rsid w:val="007B302E"/>
    <w:rsid w:val="007B3656"/>
    <w:rsid w:val="007B3872"/>
    <w:rsid w:val="007B4DC1"/>
    <w:rsid w:val="007C0094"/>
    <w:rsid w:val="007C09EC"/>
    <w:rsid w:val="007C5A0A"/>
    <w:rsid w:val="007C6447"/>
    <w:rsid w:val="007D0C11"/>
    <w:rsid w:val="007D1B8B"/>
    <w:rsid w:val="007D3CAA"/>
    <w:rsid w:val="007D5C05"/>
    <w:rsid w:val="007D60D8"/>
    <w:rsid w:val="007E0740"/>
    <w:rsid w:val="007E0F3D"/>
    <w:rsid w:val="007E35FB"/>
    <w:rsid w:val="007E4C95"/>
    <w:rsid w:val="007E7FF2"/>
    <w:rsid w:val="007F3444"/>
    <w:rsid w:val="007F38AC"/>
    <w:rsid w:val="007F4887"/>
    <w:rsid w:val="007F6341"/>
    <w:rsid w:val="007F73C2"/>
    <w:rsid w:val="007F76CD"/>
    <w:rsid w:val="0080040C"/>
    <w:rsid w:val="00800A95"/>
    <w:rsid w:val="00801711"/>
    <w:rsid w:val="0080324C"/>
    <w:rsid w:val="00803F1F"/>
    <w:rsid w:val="00805278"/>
    <w:rsid w:val="00807A04"/>
    <w:rsid w:val="0081688E"/>
    <w:rsid w:val="00816DC6"/>
    <w:rsid w:val="0082079A"/>
    <w:rsid w:val="00822364"/>
    <w:rsid w:val="00824D22"/>
    <w:rsid w:val="00825B27"/>
    <w:rsid w:val="00831688"/>
    <w:rsid w:val="00832040"/>
    <w:rsid w:val="00833B66"/>
    <w:rsid w:val="00834477"/>
    <w:rsid w:val="00834D33"/>
    <w:rsid w:val="00836EDB"/>
    <w:rsid w:val="008518E3"/>
    <w:rsid w:val="00854622"/>
    <w:rsid w:val="00854828"/>
    <w:rsid w:val="00855B3A"/>
    <w:rsid w:val="00860785"/>
    <w:rsid w:val="00864229"/>
    <w:rsid w:val="0086481E"/>
    <w:rsid w:val="00865E1B"/>
    <w:rsid w:val="0086608E"/>
    <w:rsid w:val="00866E69"/>
    <w:rsid w:val="0087026F"/>
    <w:rsid w:val="008723CB"/>
    <w:rsid w:val="008734F7"/>
    <w:rsid w:val="008741BE"/>
    <w:rsid w:val="008762FC"/>
    <w:rsid w:val="00877AF3"/>
    <w:rsid w:val="00881F7C"/>
    <w:rsid w:val="00882818"/>
    <w:rsid w:val="0088323B"/>
    <w:rsid w:val="00885248"/>
    <w:rsid w:val="00886498"/>
    <w:rsid w:val="0088653B"/>
    <w:rsid w:val="00887C76"/>
    <w:rsid w:val="00890ADA"/>
    <w:rsid w:val="00892B17"/>
    <w:rsid w:val="008930A0"/>
    <w:rsid w:val="0089505B"/>
    <w:rsid w:val="008952D6"/>
    <w:rsid w:val="00895BEE"/>
    <w:rsid w:val="00896362"/>
    <w:rsid w:val="00896800"/>
    <w:rsid w:val="008A0558"/>
    <w:rsid w:val="008A19FD"/>
    <w:rsid w:val="008B1E50"/>
    <w:rsid w:val="008B3000"/>
    <w:rsid w:val="008B395D"/>
    <w:rsid w:val="008B4042"/>
    <w:rsid w:val="008B4844"/>
    <w:rsid w:val="008B5F5A"/>
    <w:rsid w:val="008C15F4"/>
    <w:rsid w:val="008C2E13"/>
    <w:rsid w:val="008C3E42"/>
    <w:rsid w:val="008C40FA"/>
    <w:rsid w:val="008D088A"/>
    <w:rsid w:val="008D11A6"/>
    <w:rsid w:val="008D1D1E"/>
    <w:rsid w:val="008D2376"/>
    <w:rsid w:val="008D3556"/>
    <w:rsid w:val="008D4CA8"/>
    <w:rsid w:val="008D58F1"/>
    <w:rsid w:val="008E0C55"/>
    <w:rsid w:val="008E1AE1"/>
    <w:rsid w:val="008E39F1"/>
    <w:rsid w:val="008E3F69"/>
    <w:rsid w:val="008F157F"/>
    <w:rsid w:val="008F1C1B"/>
    <w:rsid w:val="008F3BE0"/>
    <w:rsid w:val="008F57D4"/>
    <w:rsid w:val="008F6C82"/>
    <w:rsid w:val="00900D2C"/>
    <w:rsid w:val="0090225F"/>
    <w:rsid w:val="009022EC"/>
    <w:rsid w:val="009039B7"/>
    <w:rsid w:val="00904014"/>
    <w:rsid w:val="009052D1"/>
    <w:rsid w:val="00907041"/>
    <w:rsid w:val="0090796B"/>
    <w:rsid w:val="0091063E"/>
    <w:rsid w:val="009136D1"/>
    <w:rsid w:val="009136EC"/>
    <w:rsid w:val="009144D7"/>
    <w:rsid w:val="009149D7"/>
    <w:rsid w:val="009158DD"/>
    <w:rsid w:val="00915BE3"/>
    <w:rsid w:val="0091681B"/>
    <w:rsid w:val="00921510"/>
    <w:rsid w:val="00922B38"/>
    <w:rsid w:val="00923CA3"/>
    <w:rsid w:val="0093218C"/>
    <w:rsid w:val="00935FEE"/>
    <w:rsid w:val="00940615"/>
    <w:rsid w:val="00943105"/>
    <w:rsid w:val="00943340"/>
    <w:rsid w:val="00943E06"/>
    <w:rsid w:val="009508E5"/>
    <w:rsid w:val="00950AE6"/>
    <w:rsid w:val="00956640"/>
    <w:rsid w:val="00957FA7"/>
    <w:rsid w:val="009625C5"/>
    <w:rsid w:val="00962654"/>
    <w:rsid w:val="00963B2B"/>
    <w:rsid w:val="00966304"/>
    <w:rsid w:val="00970171"/>
    <w:rsid w:val="00972B49"/>
    <w:rsid w:val="00973916"/>
    <w:rsid w:val="0097459C"/>
    <w:rsid w:val="00974FF4"/>
    <w:rsid w:val="009758C4"/>
    <w:rsid w:val="00977BA8"/>
    <w:rsid w:val="00980537"/>
    <w:rsid w:val="0098103A"/>
    <w:rsid w:val="00982783"/>
    <w:rsid w:val="009828DC"/>
    <w:rsid w:val="00984672"/>
    <w:rsid w:val="0098549D"/>
    <w:rsid w:val="00986F6B"/>
    <w:rsid w:val="009925FE"/>
    <w:rsid w:val="00993F2D"/>
    <w:rsid w:val="00997BF8"/>
    <w:rsid w:val="009A2B87"/>
    <w:rsid w:val="009A5A02"/>
    <w:rsid w:val="009A6EC1"/>
    <w:rsid w:val="009B0939"/>
    <w:rsid w:val="009B109B"/>
    <w:rsid w:val="009B5A79"/>
    <w:rsid w:val="009B7EEB"/>
    <w:rsid w:val="009C113E"/>
    <w:rsid w:val="009C7E35"/>
    <w:rsid w:val="009D1BD2"/>
    <w:rsid w:val="009D29D4"/>
    <w:rsid w:val="009D703D"/>
    <w:rsid w:val="009E27B7"/>
    <w:rsid w:val="009E3C08"/>
    <w:rsid w:val="009E57C9"/>
    <w:rsid w:val="009E6194"/>
    <w:rsid w:val="009E66A1"/>
    <w:rsid w:val="009E6ED7"/>
    <w:rsid w:val="009E6FE0"/>
    <w:rsid w:val="009F0463"/>
    <w:rsid w:val="009F0E63"/>
    <w:rsid w:val="009F29EA"/>
    <w:rsid w:val="009F367B"/>
    <w:rsid w:val="009F5A8F"/>
    <w:rsid w:val="009F67A4"/>
    <w:rsid w:val="009F6B65"/>
    <w:rsid w:val="00A0089E"/>
    <w:rsid w:val="00A04433"/>
    <w:rsid w:val="00A0637A"/>
    <w:rsid w:val="00A10B0D"/>
    <w:rsid w:val="00A117E1"/>
    <w:rsid w:val="00A147CD"/>
    <w:rsid w:val="00A21788"/>
    <w:rsid w:val="00A24314"/>
    <w:rsid w:val="00A258B5"/>
    <w:rsid w:val="00A25E16"/>
    <w:rsid w:val="00A26FC4"/>
    <w:rsid w:val="00A3005D"/>
    <w:rsid w:val="00A302A7"/>
    <w:rsid w:val="00A32CCF"/>
    <w:rsid w:val="00A339A2"/>
    <w:rsid w:val="00A34EE8"/>
    <w:rsid w:val="00A375D1"/>
    <w:rsid w:val="00A42E72"/>
    <w:rsid w:val="00A51050"/>
    <w:rsid w:val="00A52EC1"/>
    <w:rsid w:val="00A5446A"/>
    <w:rsid w:val="00A556A4"/>
    <w:rsid w:val="00A5663A"/>
    <w:rsid w:val="00A5722F"/>
    <w:rsid w:val="00A608EB"/>
    <w:rsid w:val="00A609EC"/>
    <w:rsid w:val="00A62422"/>
    <w:rsid w:val="00A62AE5"/>
    <w:rsid w:val="00A62C6B"/>
    <w:rsid w:val="00A7065F"/>
    <w:rsid w:val="00A712FC"/>
    <w:rsid w:val="00A713D9"/>
    <w:rsid w:val="00A74F9C"/>
    <w:rsid w:val="00A75124"/>
    <w:rsid w:val="00A77BD6"/>
    <w:rsid w:val="00A816DD"/>
    <w:rsid w:val="00A82573"/>
    <w:rsid w:val="00A8285B"/>
    <w:rsid w:val="00A83941"/>
    <w:rsid w:val="00A867E2"/>
    <w:rsid w:val="00A87D6A"/>
    <w:rsid w:val="00A908A7"/>
    <w:rsid w:val="00A9157F"/>
    <w:rsid w:val="00A957C4"/>
    <w:rsid w:val="00A96DD4"/>
    <w:rsid w:val="00AA045B"/>
    <w:rsid w:val="00AA1F91"/>
    <w:rsid w:val="00AA2485"/>
    <w:rsid w:val="00AA3280"/>
    <w:rsid w:val="00AA338C"/>
    <w:rsid w:val="00AA5933"/>
    <w:rsid w:val="00AA5F1C"/>
    <w:rsid w:val="00AA75D4"/>
    <w:rsid w:val="00AB0589"/>
    <w:rsid w:val="00AB1CBE"/>
    <w:rsid w:val="00AB7A47"/>
    <w:rsid w:val="00AC1908"/>
    <w:rsid w:val="00AC56A0"/>
    <w:rsid w:val="00AD2129"/>
    <w:rsid w:val="00AD2672"/>
    <w:rsid w:val="00AD5134"/>
    <w:rsid w:val="00AE1B0C"/>
    <w:rsid w:val="00AE41A5"/>
    <w:rsid w:val="00AE50D5"/>
    <w:rsid w:val="00AE7552"/>
    <w:rsid w:val="00AF2E4A"/>
    <w:rsid w:val="00AF5095"/>
    <w:rsid w:val="00AF5FA3"/>
    <w:rsid w:val="00B038BC"/>
    <w:rsid w:val="00B11AB0"/>
    <w:rsid w:val="00B12D51"/>
    <w:rsid w:val="00B1665D"/>
    <w:rsid w:val="00B16CDC"/>
    <w:rsid w:val="00B171FE"/>
    <w:rsid w:val="00B20E71"/>
    <w:rsid w:val="00B22098"/>
    <w:rsid w:val="00B226BD"/>
    <w:rsid w:val="00B25544"/>
    <w:rsid w:val="00B267C3"/>
    <w:rsid w:val="00B3089F"/>
    <w:rsid w:val="00B31298"/>
    <w:rsid w:val="00B33CB5"/>
    <w:rsid w:val="00B33D1F"/>
    <w:rsid w:val="00B358C3"/>
    <w:rsid w:val="00B372A8"/>
    <w:rsid w:val="00B4024C"/>
    <w:rsid w:val="00B425D0"/>
    <w:rsid w:val="00B42E2A"/>
    <w:rsid w:val="00B504E7"/>
    <w:rsid w:val="00B50BCE"/>
    <w:rsid w:val="00B510F4"/>
    <w:rsid w:val="00B55307"/>
    <w:rsid w:val="00B603C6"/>
    <w:rsid w:val="00B606ED"/>
    <w:rsid w:val="00B64350"/>
    <w:rsid w:val="00B6642F"/>
    <w:rsid w:val="00B66D08"/>
    <w:rsid w:val="00B67629"/>
    <w:rsid w:val="00B70189"/>
    <w:rsid w:val="00B744FB"/>
    <w:rsid w:val="00B755E6"/>
    <w:rsid w:val="00B77413"/>
    <w:rsid w:val="00B803A0"/>
    <w:rsid w:val="00B81557"/>
    <w:rsid w:val="00B8189D"/>
    <w:rsid w:val="00B82280"/>
    <w:rsid w:val="00B83660"/>
    <w:rsid w:val="00B875BC"/>
    <w:rsid w:val="00B8778A"/>
    <w:rsid w:val="00B87C81"/>
    <w:rsid w:val="00B90324"/>
    <w:rsid w:val="00B90B1C"/>
    <w:rsid w:val="00B916BB"/>
    <w:rsid w:val="00B918A8"/>
    <w:rsid w:val="00B92463"/>
    <w:rsid w:val="00B92EE1"/>
    <w:rsid w:val="00B97816"/>
    <w:rsid w:val="00BA05BE"/>
    <w:rsid w:val="00BA15B9"/>
    <w:rsid w:val="00BA1A6E"/>
    <w:rsid w:val="00BA1D3D"/>
    <w:rsid w:val="00BA2DA7"/>
    <w:rsid w:val="00BA3D61"/>
    <w:rsid w:val="00BA4724"/>
    <w:rsid w:val="00BA5047"/>
    <w:rsid w:val="00BA631B"/>
    <w:rsid w:val="00BB2780"/>
    <w:rsid w:val="00BB3FC6"/>
    <w:rsid w:val="00BB422B"/>
    <w:rsid w:val="00BB589D"/>
    <w:rsid w:val="00BB6891"/>
    <w:rsid w:val="00BC30F0"/>
    <w:rsid w:val="00BC47D1"/>
    <w:rsid w:val="00BD17DF"/>
    <w:rsid w:val="00BE0DA4"/>
    <w:rsid w:val="00BE0DAB"/>
    <w:rsid w:val="00BE12EC"/>
    <w:rsid w:val="00BE32D0"/>
    <w:rsid w:val="00BE391D"/>
    <w:rsid w:val="00BE3C6A"/>
    <w:rsid w:val="00BE6E33"/>
    <w:rsid w:val="00BE70AC"/>
    <w:rsid w:val="00BF02AC"/>
    <w:rsid w:val="00BF22EF"/>
    <w:rsid w:val="00BF3319"/>
    <w:rsid w:val="00BF3396"/>
    <w:rsid w:val="00BF47E0"/>
    <w:rsid w:val="00BF53A6"/>
    <w:rsid w:val="00BF757D"/>
    <w:rsid w:val="00BF7F90"/>
    <w:rsid w:val="00C00DC7"/>
    <w:rsid w:val="00C03C5B"/>
    <w:rsid w:val="00C05442"/>
    <w:rsid w:val="00C0556F"/>
    <w:rsid w:val="00C05644"/>
    <w:rsid w:val="00C0690C"/>
    <w:rsid w:val="00C079F0"/>
    <w:rsid w:val="00C136F8"/>
    <w:rsid w:val="00C16620"/>
    <w:rsid w:val="00C16B7C"/>
    <w:rsid w:val="00C178BC"/>
    <w:rsid w:val="00C21130"/>
    <w:rsid w:val="00C2143D"/>
    <w:rsid w:val="00C215B9"/>
    <w:rsid w:val="00C22531"/>
    <w:rsid w:val="00C2364D"/>
    <w:rsid w:val="00C23BF5"/>
    <w:rsid w:val="00C247FF"/>
    <w:rsid w:val="00C25EF3"/>
    <w:rsid w:val="00C26717"/>
    <w:rsid w:val="00C27D3B"/>
    <w:rsid w:val="00C30280"/>
    <w:rsid w:val="00C307F2"/>
    <w:rsid w:val="00C30F49"/>
    <w:rsid w:val="00C314D3"/>
    <w:rsid w:val="00C32039"/>
    <w:rsid w:val="00C34D9C"/>
    <w:rsid w:val="00C351C5"/>
    <w:rsid w:val="00C35973"/>
    <w:rsid w:val="00C361B0"/>
    <w:rsid w:val="00C3674D"/>
    <w:rsid w:val="00C369F3"/>
    <w:rsid w:val="00C405F8"/>
    <w:rsid w:val="00C40B38"/>
    <w:rsid w:val="00C44447"/>
    <w:rsid w:val="00C45CE3"/>
    <w:rsid w:val="00C462FD"/>
    <w:rsid w:val="00C46380"/>
    <w:rsid w:val="00C527E7"/>
    <w:rsid w:val="00C543C6"/>
    <w:rsid w:val="00C54D47"/>
    <w:rsid w:val="00C554DF"/>
    <w:rsid w:val="00C55AF9"/>
    <w:rsid w:val="00C57544"/>
    <w:rsid w:val="00C62419"/>
    <w:rsid w:val="00C63396"/>
    <w:rsid w:val="00C6742A"/>
    <w:rsid w:val="00C70BFE"/>
    <w:rsid w:val="00C7110F"/>
    <w:rsid w:val="00C7190A"/>
    <w:rsid w:val="00C71FBB"/>
    <w:rsid w:val="00C74F56"/>
    <w:rsid w:val="00C765EF"/>
    <w:rsid w:val="00C8167D"/>
    <w:rsid w:val="00C82F57"/>
    <w:rsid w:val="00C830A2"/>
    <w:rsid w:val="00C83327"/>
    <w:rsid w:val="00C86409"/>
    <w:rsid w:val="00C87470"/>
    <w:rsid w:val="00C87A06"/>
    <w:rsid w:val="00C90A1A"/>
    <w:rsid w:val="00C9177E"/>
    <w:rsid w:val="00C945D5"/>
    <w:rsid w:val="00C95F4D"/>
    <w:rsid w:val="00CA11C7"/>
    <w:rsid w:val="00CA29EE"/>
    <w:rsid w:val="00CA3F34"/>
    <w:rsid w:val="00CA436F"/>
    <w:rsid w:val="00CB5322"/>
    <w:rsid w:val="00CC0B1D"/>
    <w:rsid w:val="00CC1794"/>
    <w:rsid w:val="00CC200D"/>
    <w:rsid w:val="00CC56EE"/>
    <w:rsid w:val="00CC5B93"/>
    <w:rsid w:val="00CC6BF1"/>
    <w:rsid w:val="00CC7E3A"/>
    <w:rsid w:val="00CD0090"/>
    <w:rsid w:val="00CD03DE"/>
    <w:rsid w:val="00CD1EA1"/>
    <w:rsid w:val="00CD315F"/>
    <w:rsid w:val="00CD4392"/>
    <w:rsid w:val="00CD6CDE"/>
    <w:rsid w:val="00CD73DD"/>
    <w:rsid w:val="00CE1306"/>
    <w:rsid w:val="00CE196A"/>
    <w:rsid w:val="00CE19EC"/>
    <w:rsid w:val="00CE4F43"/>
    <w:rsid w:val="00CE70E2"/>
    <w:rsid w:val="00CF0DE2"/>
    <w:rsid w:val="00CF1968"/>
    <w:rsid w:val="00CF237B"/>
    <w:rsid w:val="00CF2879"/>
    <w:rsid w:val="00CF289D"/>
    <w:rsid w:val="00CF706E"/>
    <w:rsid w:val="00D00F2E"/>
    <w:rsid w:val="00D00FAE"/>
    <w:rsid w:val="00D017C5"/>
    <w:rsid w:val="00D03962"/>
    <w:rsid w:val="00D03D54"/>
    <w:rsid w:val="00D04719"/>
    <w:rsid w:val="00D05970"/>
    <w:rsid w:val="00D05BC7"/>
    <w:rsid w:val="00D0670B"/>
    <w:rsid w:val="00D11FEC"/>
    <w:rsid w:val="00D129FA"/>
    <w:rsid w:val="00D12B30"/>
    <w:rsid w:val="00D146AE"/>
    <w:rsid w:val="00D25C66"/>
    <w:rsid w:val="00D31930"/>
    <w:rsid w:val="00D31EB1"/>
    <w:rsid w:val="00D34678"/>
    <w:rsid w:val="00D35B24"/>
    <w:rsid w:val="00D370D8"/>
    <w:rsid w:val="00D403D7"/>
    <w:rsid w:val="00D416D0"/>
    <w:rsid w:val="00D42B2A"/>
    <w:rsid w:val="00D452DB"/>
    <w:rsid w:val="00D4562C"/>
    <w:rsid w:val="00D46636"/>
    <w:rsid w:val="00D50B91"/>
    <w:rsid w:val="00D5243C"/>
    <w:rsid w:val="00D52753"/>
    <w:rsid w:val="00D53B13"/>
    <w:rsid w:val="00D54AAF"/>
    <w:rsid w:val="00D5747E"/>
    <w:rsid w:val="00D64394"/>
    <w:rsid w:val="00D64A71"/>
    <w:rsid w:val="00D6575C"/>
    <w:rsid w:val="00D677CF"/>
    <w:rsid w:val="00D70C23"/>
    <w:rsid w:val="00D71466"/>
    <w:rsid w:val="00D80120"/>
    <w:rsid w:val="00D80165"/>
    <w:rsid w:val="00D8116C"/>
    <w:rsid w:val="00D819B1"/>
    <w:rsid w:val="00D860FA"/>
    <w:rsid w:val="00D86501"/>
    <w:rsid w:val="00D86BE7"/>
    <w:rsid w:val="00D8720D"/>
    <w:rsid w:val="00D87596"/>
    <w:rsid w:val="00D87644"/>
    <w:rsid w:val="00D916B3"/>
    <w:rsid w:val="00D918A0"/>
    <w:rsid w:val="00D93888"/>
    <w:rsid w:val="00D938B0"/>
    <w:rsid w:val="00D95264"/>
    <w:rsid w:val="00D955D8"/>
    <w:rsid w:val="00D96D8A"/>
    <w:rsid w:val="00DA3E48"/>
    <w:rsid w:val="00DA6A06"/>
    <w:rsid w:val="00DA79BC"/>
    <w:rsid w:val="00DB2F35"/>
    <w:rsid w:val="00DB4B75"/>
    <w:rsid w:val="00DB5933"/>
    <w:rsid w:val="00DB6B57"/>
    <w:rsid w:val="00DC11E7"/>
    <w:rsid w:val="00DC18A9"/>
    <w:rsid w:val="00DC37A3"/>
    <w:rsid w:val="00DC4468"/>
    <w:rsid w:val="00DC5B53"/>
    <w:rsid w:val="00DC7A83"/>
    <w:rsid w:val="00DD0941"/>
    <w:rsid w:val="00DD3356"/>
    <w:rsid w:val="00DD58C2"/>
    <w:rsid w:val="00DD76F4"/>
    <w:rsid w:val="00DE18EB"/>
    <w:rsid w:val="00DE2C28"/>
    <w:rsid w:val="00DE3A5B"/>
    <w:rsid w:val="00DE6456"/>
    <w:rsid w:val="00DF035B"/>
    <w:rsid w:val="00DF052E"/>
    <w:rsid w:val="00DF42B4"/>
    <w:rsid w:val="00E0369E"/>
    <w:rsid w:val="00E05BDE"/>
    <w:rsid w:val="00E07DD7"/>
    <w:rsid w:val="00E11111"/>
    <w:rsid w:val="00E11707"/>
    <w:rsid w:val="00E12D40"/>
    <w:rsid w:val="00E1550D"/>
    <w:rsid w:val="00E15C28"/>
    <w:rsid w:val="00E22623"/>
    <w:rsid w:val="00E2474D"/>
    <w:rsid w:val="00E25EEC"/>
    <w:rsid w:val="00E305F2"/>
    <w:rsid w:val="00E30D7F"/>
    <w:rsid w:val="00E31EFC"/>
    <w:rsid w:val="00E330AA"/>
    <w:rsid w:val="00E330CF"/>
    <w:rsid w:val="00E36625"/>
    <w:rsid w:val="00E367D1"/>
    <w:rsid w:val="00E40325"/>
    <w:rsid w:val="00E404CB"/>
    <w:rsid w:val="00E41A5E"/>
    <w:rsid w:val="00E514C8"/>
    <w:rsid w:val="00E52634"/>
    <w:rsid w:val="00E56720"/>
    <w:rsid w:val="00E63D4C"/>
    <w:rsid w:val="00E63E5D"/>
    <w:rsid w:val="00E6592F"/>
    <w:rsid w:val="00E67B8D"/>
    <w:rsid w:val="00E707E3"/>
    <w:rsid w:val="00E70B3F"/>
    <w:rsid w:val="00E71211"/>
    <w:rsid w:val="00E71D3A"/>
    <w:rsid w:val="00E72150"/>
    <w:rsid w:val="00E7436A"/>
    <w:rsid w:val="00E74D7E"/>
    <w:rsid w:val="00E75AAF"/>
    <w:rsid w:val="00E76669"/>
    <w:rsid w:val="00E7679A"/>
    <w:rsid w:val="00E772F5"/>
    <w:rsid w:val="00E80CC8"/>
    <w:rsid w:val="00E838D9"/>
    <w:rsid w:val="00E8470E"/>
    <w:rsid w:val="00E858D8"/>
    <w:rsid w:val="00E85FCA"/>
    <w:rsid w:val="00E87CB9"/>
    <w:rsid w:val="00E9204D"/>
    <w:rsid w:val="00E935AC"/>
    <w:rsid w:val="00E94084"/>
    <w:rsid w:val="00E95FDD"/>
    <w:rsid w:val="00E97148"/>
    <w:rsid w:val="00E97F6E"/>
    <w:rsid w:val="00EA3F0E"/>
    <w:rsid w:val="00EA4085"/>
    <w:rsid w:val="00EA76D8"/>
    <w:rsid w:val="00EB2A50"/>
    <w:rsid w:val="00EB2A60"/>
    <w:rsid w:val="00EB5F08"/>
    <w:rsid w:val="00EB7268"/>
    <w:rsid w:val="00EC3250"/>
    <w:rsid w:val="00EC7CAC"/>
    <w:rsid w:val="00ED2E37"/>
    <w:rsid w:val="00ED43B9"/>
    <w:rsid w:val="00ED5439"/>
    <w:rsid w:val="00ED658A"/>
    <w:rsid w:val="00EE2EE7"/>
    <w:rsid w:val="00EE5B75"/>
    <w:rsid w:val="00EF5B30"/>
    <w:rsid w:val="00EF71B0"/>
    <w:rsid w:val="00EF789D"/>
    <w:rsid w:val="00EF7B85"/>
    <w:rsid w:val="00F0016A"/>
    <w:rsid w:val="00F00A7C"/>
    <w:rsid w:val="00F01F8B"/>
    <w:rsid w:val="00F02BD3"/>
    <w:rsid w:val="00F044DD"/>
    <w:rsid w:val="00F054DD"/>
    <w:rsid w:val="00F10480"/>
    <w:rsid w:val="00F109B3"/>
    <w:rsid w:val="00F11001"/>
    <w:rsid w:val="00F12D26"/>
    <w:rsid w:val="00F12DD7"/>
    <w:rsid w:val="00F12FBD"/>
    <w:rsid w:val="00F158FA"/>
    <w:rsid w:val="00F15F1A"/>
    <w:rsid w:val="00F175B4"/>
    <w:rsid w:val="00F201C9"/>
    <w:rsid w:val="00F21D37"/>
    <w:rsid w:val="00F222A0"/>
    <w:rsid w:val="00F22CC7"/>
    <w:rsid w:val="00F22E26"/>
    <w:rsid w:val="00F2630D"/>
    <w:rsid w:val="00F27AC4"/>
    <w:rsid w:val="00F27E4A"/>
    <w:rsid w:val="00F3022F"/>
    <w:rsid w:val="00F31609"/>
    <w:rsid w:val="00F344C6"/>
    <w:rsid w:val="00F352C7"/>
    <w:rsid w:val="00F41605"/>
    <w:rsid w:val="00F4332F"/>
    <w:rsid w:val="00F434FC"/>
    <w:rsid w:val="00F47E25"/>
    <w:rsid w:val="00F50A4A"/>
    <w:rsid w:val="00F53532"/>
    <w:rsid w:val="00F5659E"/>
    <w:rsid w:val="00F56C86"/>
    <w:rsid w:val="00F614F6"/>
    <w:rsid w:val="00F66A91"/>
    <w:rsid w:val="00F67EAD"/>
    <w:rsid w:val="00F74319"/>
    <w:rsid w:val="00F748F4"/>
    <w:rsid w:val="00F77A3B"/>
    <w:rsid w:val="00F8190A"/>
    <w:rsid w:val="00F81E15"/>
    <w:rsid w:val="00F81E97"/>
    <w:rsid w:val="00F83749"/>
    <w:rsid w:val="00F8470E"/>
    <w:rsid w:val="00F91B43"/>
    <w:rsid w:val="00F91E96"/>
    <w:rsid w:val="00F94CC7"/>
    <w:rsid w:val="00F95859"/>
    <w:rsid w:val="00F95B66"/>
    <w:rsid w:val="00F97D16"/>
    <w:rsid w:val="00F97FCB"/>
    <w:rsid w:val="00FA0A28"/>
    <w:rsid w:val="00FA1C33"/>
    <w:rsid w:val="00FA24D0"/>
    <w:rsid w:val="00FA2EC8"/>
    <w:rsid w:val="00FA3151"/>
    <w:rsid w:val="00FA594B"/>
    <w:rsid w:val="00FA7C7A"/>
    <w:rsid w:val="00FB2DF9"/>
    <w:rsid w:val="00FB4E02"/>
    <w:rsid w:val="00FB53A2"/>
    <w:rsid w:val="00FB5593"/>
    <w:rsid w:val="00FB6799"/>
    <w:rsid w:val="00FC0DCE"/>
    <w:rsid w:val="00FC2C98"/>
    <w:rsid w:val="00FC3303"/>
    <w:rsid w:val="00FC4BB9"/>
    <w:rsid w:val="00FC6C3D"/>
    <w:rsid w:val="00FD1D4A"/>
    <w:rsid w:val="00FD3D4D"/>
    <w:rsid w:val="00FD4E66"/>
    <w:rsid w:val="00FD609E"/>
    <w:rsid w:val="00FD6567"/>
    <w:rsid w:val="00FD7D5F"/>
    <w:rsid w:val="00FD7DA1"/>
    <w:rsid w:val="00FE69F9"/>
    <w:rsid w:val="00FF093C"/>
    <w:rsid w:val="00FF317A"/>
    <w:rsid w:val="00FF56EB"/>
    <w:rsid w:val="00FF61E8"/>
    <w:rsid w:val="00FF6346"/>
    <w:rsid w:val="00FF76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unhideWhenUsed="0"/>
    <w:lsdException w:name="Default Paragraph Font" w:uiPriority="1"/>
    <w:lsdException w:name="Body Text" w:semiHidden="0" w:uiPriority="0" w:unhideWhenUsed="0" w:qFormat="1"/>
    <w:lsdException w:name="Subtitle" w:semiHidden="0" w:uiPriority="11" w:unhideWhenUsed="0"/>
    <w:lsdException w:name="Hyperlink" w:unhideWhenUsed="0" w:qFormat="1"/>
    <w:lsdException w:name="FollowedHyperlink" w:uiPriority="27" w:unhideWhenUsed="0" w:qFormat="1"/>
    <w:lsdException w:name="Strong" w:semiHidden="0" w:uiPriority="22" w:unhideWhenUsed="0"/>
    <w:lsdException w:name="Emphasis" w:semiHidden="0" w:uiPriority="20" w:unhideWhenUsed="0"/>
    <w:lsdException w:name="Table Grid" w:uiPriority="59"/>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lsdException w:name="Bibliography" w:uiPriority="37"/>
    <w:lsdException w:name="TOC Heading" w:uiPriority="39"/>
  </w:latentStyles>
  <w:style w:type="paragraph" w:default="1" w:styleId="Normal">
    <w:name w:val="Normal"/>
    <w:uiPriority w:val="1"/>
    <w:qFormat/>
    <w:rsid w:val="005A1F44"/>
    <w:pPr>
      <w:tabs>
        <w:tab w:val="left" w:pos="284"/>
      </w:tabs>
      <w:spacing w:line="240" w:lineRule="atLeast"/>
    </w:pPr>
    <w:rPr>
      <w:kern w:val="18"/>
    </w:rPr>
  </w:style>
  <w:style w:type="paragraph" w:styleId="Heading1">
    <w:name w:val="heading 1"/>
    <w:basedOn w:val="Normal"/>
    <w:next w:val="BodyText"/>
    <w:link w:val="Heading1Char"/>
    <w:uiPriority w:val="2"/>
    <w:qFormat/>
    <w:rsid w:val="005A1F44"/>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rsid w:val="005A1F44"/>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3A3279"/>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8D11A6"/>
    <w:pPr>
      <w:keepNext/>
      <w:spacing w:after="120"/>
    </w:pPr>
    <w:rPr>
      <w:rFonts w:asciiTheme="majorHAnsi" w:hAnsiTheme="majorHAnsi"/>
      <w:b/>
      <w:bCs/>
      <w:color w:val="00B5E2" w:themeColor="accent1"/>
      <w:sz w:val="20"/>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4"/>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szCs w:val="22"/>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tabs>
        <w:tab w:val="clear" w:pos="284"/>
      </w:tabs>
      <w:spacing w:after="240"/>
    </w:pPr>
    <w:rPr>
      <w:rFonts w:ascii="Arial" w:eastAsia="Times New Roman" w:hAnsi="Arial" w:cs="Times New Roman"/>
      <w:kern w:val="0"/>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unhideWhenUsed="0"/>
    <w:lsdException w:name="Default Paragraph Font" w:uiPriority="1"/>
    <w:lsdException w:name="Body Text" w:semiHidden="0" w:uiPriority="0" w:unhideWhenUsed="0" w:qFormat="1"/>
    <w:lsdException w:name="Subtitle" w:semiHidden="0" w:uiPriority="11" w:unhideWhenUsed="0"/>
    <w:lsdException w:name="Hyperlink" w:unhideWhenUsed="0" w:qFormat="1"/>
    <w:lsdException w:name="FollowedHyperlink" w:uiPriority="27" w:unhideWhenUsed="0" w:qFormat="1"/>
    <w:lsdException w:name="Strong" w:semiHidden="0" w:uiPriority="22" w:unhideWhenUsed="0"/>
    <w:lsdException w:name="Emphasis" w:semiHidden="0" w:uiPriority="20" w:unhideWhenUsed="0"/>
    <w:lsdException w:name="Table Grid" w:uiPriority="59"/>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lsdException w:name="Bibliography" w:uiPriority="37"/>
    <w:lsdException w:name="TOC Heading" w:uiPriority="39"/>
  </w:latentStyles>
  <w:style w:type="paragraph" w:default="1" w:styleId="Normal">
    <w:name w:val="Normal"/>
    <w:uiPriority w:val="1"/>
    <w:qFormat/>
    <w:rsid w:val="005A1F44"/>
    <w:pPr>
      <w:tabs>
        <w:tab w:val="left" w:pos="284"/>
      </w:tabs>
      <w:spacing w:line="240" w:lineRule="atLeast"/>
    </w:pPr>
    <w:rPr>
      <w:kern w:val="18"/>
    </w:rPr>
  </w:style>
  <w:style w:type="paragraph" w:styleId="Heading1">
    <w:name w:val="heading 1"/>
    <w:basedOn w:val="Normal"/>
    <w:next w:val="BodyText"/>
    <w:link w:val="Heading1Char"/>
    <w:uiPriority w:val="2"/>
    <w:qFormat/>
    <w:rsid w:val="005A1F44"/>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rsid w:val="005A1F44"/>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3A3279"/>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8D11A6"/>
    <w:pPr>
      <w:keepNext/>
      <w:spacing w:after="120"/>
    </w:pPr>
    <w:rPr>
      <w:rFonts w:asciiTheme="majorHAnsi" w:hAnsiTheme="majorHAnsi"/>
      <w:b/>
      <w:bCs/>
      <w:color w:val="00B5E2" w:themeColor="accent1"/>
      <w:sz w:val="20"/>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4"/>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szCs w:val="22"/>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tabs>
        <w:tab w:val="clear" w:pos="284"/>
      </w:tabs>
      <w:spacing w:after="240"/>
    </w:pPr>
    <w:rPr>
      <w:rFonts w:ascii="Arial" w:eastAsia="Times New Roman" w:hAnsi="Arial" w:cs="Times New Roman"/>
      <w:kern w:val="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967">
      <w:bodyDiv w:val="1"/>
      <w:marLeft w:val="0"/>
      <w:marRight w:val="0"/>
      <w:marTop w:val="0"/>
      <w:marBottom w:val="0"/>
      <w:divBdr>
        <w:top w:val="none" w:sz="0" w:space="0" w:color="auto"/>
        <w:left w:val="none" w:sz="0" w:space="0" w:color="auto"/>
        <w:bottom w:val="none" w:sz="0" w:space="0" w:color="auto"/>
        <w:right w:val="none" w:sz="0" w:space="0" w:color="auto"/>
      </w:divBdr>
    </w:div>
    <w:div w:id="71007774">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330833800">
      <w:bodyDiv w:val="1"/>
      <w:marLeft w:val="0"/>
      <w:marRight w:val="0"/>
      <w:marTop w:val="0"/>
      <w:marBottom w:val="0"/>
      <w:divBdr>
        <w:top w:val="none" w:sz="0" w:space="0" w:color="auto"/>
        <w:left w:val="none" w:sz="0" w:space="0" w:color="auto"/>
        <w:bottom w:val="none" w:sz="0" w:space="0" w:color="auto"/>
        <w:right w:val="none" w:sz="0" w:space="0" w:color="auto"/>
      </w:divBdr>
    </w:div>
    <w:div w:id="341707490">
      <w:bodyDiv w:val="1"/>
      <w:marLeft w:val="0"/>
      <w:marRight w:val="0"/>
      <w:marTop w:val="0"/>
      <w:marBottom w:val="0"/>
      <w:divBdr>
        <w:top w:val="none" w:sz="0" w:space="0" w:color="auto"/>
        <w:left w:val="none" w:sz="0" w:space="0" w:color="auto"/>
        <w:bottom w:val="none" w:sz="0" w:space="0" w:color="auto"/>
        <w:right w:val="none" w:sz="0" w:space="0" w:color="auto"/>
      </w:divBdr>
    </w:div>
    <w:div w:id="348802871">
      <w:bodyDiv w:val="1"/>
      <w:marLeft w:val="0"/>
      <w:marRight w:val="0"/>
      <w:marTop w:val="0"/>
      <w:marBottom w:val="0"/>
      <w:divBdr>
        <w:top w:val="none" w:sz="0" w:space="0" w:color="auto"/>
        <w:left w:val="none" w:sz="0" w:space="0" w:color="auto"/>
        <w:bottom w:val="none" w:sz="0" w:space="0" w:color="auto"/>
        <w:right w:val="none" w:sz="0" w:space="0" w:color="auto"/>
      </w:divBdr>
    </w:div>
    <w:div w:id="397826329">
      <w:bodyDiv w:val="1"/>
      <w:marLeft w:val="0"/>
      <w:marRight w:val="0"/>
      <w:marTop w:val="0"/>
      <w:marBottom w:val="0"/>
      <w:divBdr>
        <w:top w:val="none" w:sz="0" w:space="0" w:color="auto"/>
        <w:left w:val="none" w:sz="0" w:space="0" w:color="auto"/>
        <w:bottom w:val="none" w:sz="0" w:space="0" w:color="auto"/>
        <w:right w:val="none" w:sz="0" w:space="0" w:color="auto"/>
      </w:divBdr>
    </w:div>
    <w:div w:id="618922657">
      <w:bodyDiv w:val="1"/>
      <w:marLeft w:val="0"/>
      <w:marRight w:val="0"/>
      <w:marTop w:val="0"/>
      <w:marBottom w:val="0"/>
      <w:divBdr>
        <w:top w:val="none" w:sz="0" w:space="0" w:color="auto"/>
        <w:left w:val="none" w:sz="0" w:space="0" w:color="auto"/>
        <w:bottom w:val="none" w:sz="0" w:space="0" w:color="auto"/>
        <w:right w:val="none" w:sz="0" w:space="0" w:color="auto"/>
      </w:divBdr>
    </w:div>
    <w:div w:id="662704325">
      <w:bodyDiv w:val="1"/>
      <w:marLeft w:val="0"/>
      <w:marRight w:val="0"/>
      <w:marTop w:val="0"/>
      <w:marBottom w:val="0"/>
      <w:divBdr>
        <w:top w:val="none" w:sz="0" w:space="0" w:color="auto"/>
        <w:left w:val="none" w:sz="0" w:space="0" w:color="auto"/>
        <w:bottom w:val="none" w:sz="0" w:space="0" w:color="auto"/>
        <w:right w:val="none" w:sz="0" w:space="0" w:color="auto"/>
      </w:divBdr>
    </w:div>
    <w:div w:id="674267062">
      <w:bodyDiv w:val="1"/>
      <w:marLeft w:val="0"/>
      <w:marRight w:val="0"/>
      <w:marTop w:val="0"/>
      <w:marBottom w:val="0"/>
      <w:divBdr>
        <w:top w:val="none" w:sz="0" w:space="0" w:color="auto"/>
        <w:left w:val="none" w:sz="0" w:space="0" w:color="auto"/>
        <w:bottom w:val="none" w:sz="0" w:space="0" w:color="auto"/>
        <w:right w:val="none" w:sz="0" w:space="0" w:color="auto"/>
      </w:divBdr>
    </w:div>
    <w:div w:id="700131777">
      <w:bodyDiv w:val="1"/>
      <w:marLeft w:val="0"/>
      <w:marRight w:val="0"/>
      <w:marTop w:val="0"/>
      <w:marBottom w:val="0"/>
      <w:divBdr>
        <w:top w:val="none" w:sz="0" w:space="0" w:color="auto"/>
        <w:left w:val="none" w:sz="0" w:space="0" w:color="auto"/>
        <w:bottom w:val="none" w:sz="0" w:space="0" w:color="auto"/>
        <w:right w:val="none" w:sz="0" w:space="0" w:color="auto"/>
      </w:divBdr>
    </w:div>
    <w:div w:id="700252553">
      <w:bodyDiv w:val="1"/>
      <w:marLeft w:val="0"/>
      <w:marRight w:val="0"/>
      <w:marTop w:val="0"/>
      <w:marBottom w:val="0"/>
      <w:divBdr>
        <w:top w:val="none" w:sz="0" w:space="0" w:color="auto"/>
        <w:left w:val="none" w:sz="0" w:space="0" w:color="auto"/>
        <w:bottom w:val="none" w:sz="0" w:space="0" w:color="auto"/>
        <w:right w:val="none" w:sz="0" w:space="0" w:color="auto"/>
      </w:divBdr>
    </w:div>
    <w:div w:id="735473961">
      <w:bodyDiv w:val="1"/>
      <w:marLeft w:val="0"/>
      <w:marRight w:val="0"/>
      <w:marTop w:val="0"/>
      <w:marBottom w:val="0"/>
      <w:divBdr>
        <w:top w:val="none" w:sz="0" w:space="0" w:color="auto"/>
        <w:left w:val="none" w:sz="0" w:space="0" w:color="auto"/>
        <w:bottom w:val="none" w:sz="0" w:space="0" w:color="auto"/>
        <w:right w:val="none" w:sz="0" w:space="0" w:color="auto"/>
      </w:divBdr>
    </w:div>
    <w:div w:id="1192915472">
      <w:bodyDiv w:val="1"/>
      <w:marLeft w:val="0"/>
      <w:marRight w:val="0"/>
      <w:marTop w:val="0"/>
      <w:marBottom w:val="0"/>
      <w:divBdr>
        <w:top w:val="none" w:sz="0" w:space="0" w:color="auto"/>
        <w:left w:val="none" w:sz="0" w:space="0" w:color="auto"/>
        <w:bottom w:val="none" w:sz="0" w:space="0" w:color="auto"/>
        <w:right w:val="none" w:sz="0" w:space="0" w:color="auto"/>
      </w:divBdr>
    </w:div>
    <w:div w:id="1248881489">
      <w:bodyDiv w:val="1"/>
      <w:marLeft w:val="0"/>
      <w:marRight w:val="0"/>
      <w:marTop w:val="0"/>
      <w:marBottom w:val="0"/>
      <w:divBdr>
        <w:top w:val="none" w:sz="0" w:space="0" w:color="auto"/>
        <w:left w:val="none" w:sz="0" w:space="0" w:color="auto"/>
        <w:bottom w:val="none" w:sz="0" w:space="0" w:color="auto"/>
        <w:right w:val="none" w:sz="0" w:space="0" w:color="auto"/>
      </w:divBdr>
    </w:div>
    <w:div w:id="1296179795">
      <w:bodyDiv w:val="1"/>
      <w:marLeft w:val="0"/>
      <w:marRight w:val="0"/>
      <w:marTop w:val="0"/>
      <w:marBottom w:val="0"/>
      <w:divBdr>
        <w:top w:val="none" w:sz="0" w:space="0" w:color="auto"/>
        <w:left w:val="none" w:sz="0" w:space="0" w:color="auto"/>
        <w:bottom w:val="none" w:sz="0" w:space="0" w:color="auto"/>
        <w:right w:val="none" w:sz="0" w:space="0" w:color="auto"/>
      </w:divBdr>
    </w:div>
    <w:div w:id="1298339508">
      <w:bodyDiv w:val="1"/>
      <w:marLeft w:val="0"/>
      <w:marRight w:val="0"/>
      <w:marTop w:val="0"/>
      <w:marBottom w:val="0"/>
      <w:divBdr>
        <w:top w:val="none" w:sz="0" w:space="0" w:color="auto"/>
        <w:left w:val="none" w:sz="0" w:space="0" w:color="auto"/>
        <w:bottom w:val="none" w:sz="0" w:space="0" w:color="auto"/>
        <w:right w:val="none" w:sz="0" w:space="0" w:color="auto"/>
      </w:divBdr>
    </w:div>
    <w:div w:id="1496611048">
      <w:bodyDiv w:val="1"/>
      <w:marLeft w:val="0"/>
      <w:marRight w:val="0"/>
      <w:marTop w:val="0"/>
      <w:marBottom w:val="0"/>
      <w:divBdr>
        <w:top w:val="none" w:sz="0" w:space="0" w:color="auto"/>
        <w:left w:val="none" w:sz="0" w:space="0" w:color="auto"/>
        <w:bottom w:val="none" w:sz="0" w:space="0" w:color="auto"/>
        <w:right w:val="none" w:sz="0" w:space="0" w:color="auto"/>
      </w:divBdr>
    </w:div>
    <w:div w:id="1504082955">
      <w:bodyDiv w:val="1"/>
      <w:marLeft w:val="0"/>
      <w:marRight w:val="0"/>
      <w:marTop w:val="0"/>
      <w:marBottom w:val="0"/>
      <w:divBdr>
        <w:top w:val="none" w:sz="0" w:space="0" w:color="auto"/>
        <w:left w:val="none" w:sz="0" w:space="0" w:color="auto"/>
        <w:bottom w:val="none" w:sz="0" w:space="0" w:color="auto"/>
        <w:right w:val="none" w:sz="0" w:space="0" w:color="auto"/>
      </w:divBdr>
    </w:div>
    <w:div w:id="1535121996">
      <w:bodyDiv w:val="1"/>
      <w:marLeft w:val="0"/>
      <w:marRight w:val="0"/>
      <w:marTop w:val="0"/>
      <w:marBottom w:val="0"/>
      <w:divBdr>
        <w:top w:val="none" w:sz="0" w:space="0" w:color="auto"/>
        <w:left w:val="none" w:sz="0" w:space="0" w:color="auto"/>
        <w:bottom w:val="none" w:sz="0" w:space="0" w:color="auto"/>
        <w:right w:val="none" w:sz="0" w:space="0" w:color="auto"/>
      </w:divBdr>
    </w:div>
    <w:div w:id="1558012123">
      <w:bodyDiv w:val="1"/>
      <w:marLeft w:val="0"/>
      <w:marRight w:val="0"/>
      <w:marTop w:val="0"/>
      <w:marBottom w:val="0"/>
      <w:divBdr>
        <w:top w:val="none" w:sz="0" w:space="0" w:color="auto"/>
        <w:left w:val="none" w:sz="0" w:space="0" w:color="auto"/>
        <w:bottom w:val="none" w:sz="0" w:space="0" w:color="auto"/>
        <w:right w:val="none" w:sz="0" w:space="0" w:color="auto"/>
      </w:divBdr>
    </w:div>
    <w:div w:id="1911840009">
      <w:bodyDiv w:val="1"/>
      <w:marLeft w:val="0"/>
      <w:marRight w:val="0"/>
      <w:marTop w:val="0"/>
      <w:marBottom w:val="0"/>
      <w:divBdr>
        <w:top w:val="none" w:sz="0" w:space="0" w:color="auto"/>
        <w:left w:val="none" w:sz="0" w:space="0" w:color="auto"/>
        <w:bottom w:val="none" w:sz="0" w:space="0" w:color="auto"/>
        <w:right w:val="none" w:sz="0" w:space="0" w:color="auto"/>
      </w:divBdr>
    </w:div>
    <w:div w:id="2061318168">
      <w:bodyDiv w:val="1"/>
      <w:marLeft w:val="0"/>
      <w:marRight w:val="0"/>
      <w:marTop w:val="0"/>
      <w:marBottom w:val="0"/>
      <w:divBdr>
        <w:top w:val="none" w:sz="0" w:space="0" w:color="auto"/>
        <w:left w:val="none" w:sz="0" w:space="0" w:color="auto"/>
        <w:bottom w:val="none" w:sz="0" w:space="0" w:color="auto"/>
        <w:right w:val="none" w:sz="0" w:space="0" w:color="auto"/>
      </w:divBdr>
    </w:div>
    <w:div w:id="2061905065">
      <w:bodyDiv w:val="1"/>
      <w:marLeft w:val="0"/>
      <w:marRight w:val="0"/>
      <w:marTop w:val="0"/>
      <w:marBottom w:val="0"/>
      <w:divBdr>
        <w:top w:val="none" w:sz="0" w:space="0" w:color="auto"/>
        <w:left w:val="none" w:sz="0" w:space="0" w:color="auto"/>
        <w:bottom w:val="none" w:sz="0" w:space="0" w:color="auto"/>
        <w:right w:val="none" w:sz="0" w:space="0" w:color="auto"/>
      </w:divBdr>
    </w:div>
    <w:div w:id="208301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housingcare.org/jargon-extra-care-housing.aspx" TargetMode="External"/><Relationship Id="rId2" Type="http://schemas.openxmlformats.org/officeDocument/2006/relationships/hyperlink" Target="http://www.housingcare.org/jargon-sheltered-housing.aspx" TargetMode="External"/><Relationship Id="rId1" Type="http://schemas.openxmlformats.org/officeDocument/2006/relationships/hyperlink" Target="https://www.gov.uk/government/news/councils-must-protect-our-precious-green-belt-land" TargetMode="External"/><Relationship Id="rId5" Type="http://schemas.openxmlformats.org/officeDocument/2006/relationships/hyperlink" Target="http://webarchive.nationalarchives.gov.uk/20160105222245/http://www.ons.gov.uk/ons/rel/census/2011-census-analysis/what-does-the-2011-census-tell-us-about-concealed-families-living-in-multi-family-households-in-england-and-wales-/sty-what-does-the-2011-census-tell-us-about-concealed-families.html" TargetMode="External"/><Relationship Id="rId4" Type="http://schemas.openxmlformats.org/officeDocument/2006/relationships/hyperlink" Target="http://www.featherstonecohousing.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Tennant\AppData\Roaming\Microsoft\Templates\AECOM_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klon06pfpsw001\LN_Planning\PED%20London\PEL%20Projects\Current%20Projects\DCLG%20NP\7.%20New%20Contract%202015-8\Deliverables\D%20HNA%20Housing%20Needs\West%20Wittering\Deliverables\Need%20graph_W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klon06pfpsw001\LN_Planning\PED%20London\PEL%20Projects\Current%20Projects\DCLG%20NP\7.%20New%20Contract%202015-8\Deliverables\D%20HNA%20Housing%20Needs\West%20Wittering\Research\Data\Census\HNA_dataDL_v2_Lachlan%20-%20West%20Wittering.xlsm"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klon06pfpsw001\LN_Planning\PED%20London\PEL%20Projects\Current%20Projects\DCLG%20NP\7.%20New%20Contract%202015-8\Deliverables\D%20HNA%20Housing%20Needs\West%20Wittering\Research\Data\Land%20Registry\Land%20Registry%20Data-West%20Wittering.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uklon06pfpsw001\LN_Planning\PED%20London\PEL%20Projects\Current%20Projects\DCLG%20NP\7.%20New%20Contract%202015-8\Deliverables\D%20HNA%20Housing%20Needs\West%20Wittering\Research\Data\Land%20Registry\Land%20Registry%20Data-West%20Wittering.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CLP (derived)</c:v>
                </c:pt>
              </c:strCache>
            </c:strRef>
          </c:tx>
          <c:marker>
            <c:symbol val="none"/>
          </c:marker>
          <c:cat>
            <c:numRef>
              <c:f>Sheet1!$A$2:$A$5</c:f>
              <c:numCache>
                <c:formatCode>m/d/yyyy</c:formatCode>
                <c:ptCount val="4"/>
                <c:pt idx="0">
                  <c:v>36892</c:v>
                </c:pt>
                <c:pt idx="1">
                  <c:v>40544</c:v>
                </c:pt>
                <c:pt idx="2">
                  <c:v>42736</c:v>
                </c:pt>
                <c:pt idx="3">
                  <c:v>48580</c:v>
                </c:pt>
              </c:numCache>
            </c:numRef>
          </c:cat>
          <c:val>
            <c:numRef>
              <c:f>Sheet1!$B$2:$B$5</c:f>
              <c:numCache>
                <c:formatCode>General</c:formatCode>
                <c:ptCount val="4"/>
                <c:pt idx="0">
                  <c:v>1666</c:v>
                </c:pt>
                <c:pt idx="1">
                  <c:v>1740</c:v>
                </c:pt>
                <c:pt idx="2">
                  <c:v>1811</c:v>
                </c:pt>
                <c:pt idx="3">
                  <c:v>1950</c:v>
                </c:pt>
              </c:numCache>
            </c:numRef>
          </c:val>
          <c:smooth val="0"/>
        </c:ser>
        <c:ser>
          <c:idx val="1"/>
          <c:order val="1"/>
          <c:tx>
            <c:strRef>
              <c:f>Sheet1!$C$1</c:f>
              <c:strCache>
                <c:ptCount val="1"/>
                <c:pt idx="0">
                  <c:v>ROAHN (derived)</c:v>
                </c:pt>
              </c:strCache>
            </c:strRef>
          </c:tx>
          <c:marker>
            <c:symbol val="none"/>
          </c:marker>
          <c:cat>
            <c:numRef>
              <c:f>Sheet1!$A$2:$A$5</c:f>
              <c:numCache>
                <c:formatCode>m/d/yyyy</c:formatCode>
                <c:ptCount val="4"/>
                <c:pt idx="0">
                  <c:v>36892</c:v>
                </c:pt>
                <c:pt idx="1">
                  <c:v>40544</c:v>
                </c:pt>
                <c:pt idx="2">
                  <c:v>42736</c:v>
                </c:pt>
                <c:pt idx="3">
                  <c:v>48580</c:v>
                </c:pt>
              </c:numCache>
            </c:numRef>
          </c:cat>
          <c:val>
            <c:numRef>
              <c:f>Sheet1!$C$2:$C$5</c:f>
              <c:numCache>
                <c:formatCode>General</c:formatCode>
                <c:ptCount val="4"/>
                <c:pt idx="0">
                  <c:v>1666</c:v>
                </c:pt>
                <c:pt idx="1">
                  <c:v>1740</c:v>
                </c:pt>
                <c:pt idx="2">
                  <c:v>1811</c:v>
                </c:pt>
                <c:pt idx="3">
                  <c:v>2015</c:v>
                </c:pt>
              </c:numCache>
            </c:numRef>
          </c:val>
          <c:smooth val="0"/>
        </c:ser>
        <c:ser>
          <c:idx val="2"/>
          <c:order val="2"/>
          <c:tx>
            <c:strRef>
              <c:f>Sheet1!$D$1</c:f>
              <c:strCache>
                <c:ptCount val="1"/>
                <c:pt idx="0">
                  <c:v>DHCLG Household Projections-derived</c:v>
                </c:pt>
              </c:strCache>
            </c:strRef>
          </c:tx>
          <c:marker>
            <c:symbol val="none"/>
          </c:marker>
          <c:cat>
            <c:numRef>
              <c:f>Sheet1!$A$2:$A$5</c:f>
              <c:numCache>
                <c:formatCode>m/d/yyyy</c:formatCode>
                <c:ptCount val="4"/>
                <c:pt idx="0">
                  <c:v>36892</c:v>
                </c:pt>
                <c:pt idx="1">
                  <c:v>40544</c:v>
                </c:pt>
                <c:pt idx="2">
                  <c:v>42736</c:v>
                </c:pt>
                <c:pt idx="3">
                  <c:v>48580</c:v>
                </c:pt>
              </c:numCache>
            </c:numRef>
          </c:cat>
          <c:val>
            <c:numRef>
              <c:f>Sheet1!$D$2:$D$5</c:f>
              <c:numCache>
                <c:formatCode>General</c:formatCode>
                <c:ptCount val="4"/>
                <c:pt idx="0">
                  <c:v>1666</c:v>
                </c:pt>
                <c:pt idx="1">
                  <c:v>1740</c:v>
                </c:pt>
                <c:pt idx="2">
                  <c:v>1811</c:v>
                </c:pt>
                <c:pt idx="3">
                  <c:v>2060</c:v>
                </c:pt>
              </c:numCache>
            </c:numRef>
          </c:val>
          <c:smooth val="0"/>
        </c:ser>
        <c:ser>
          <c:idx val="3"/>
          <c:order val="3"/>
          <c:tx>
            <c:strRef>
              <c:f>Sheet1!$E$1</c:f>
              <c:strCache>
                <c:ptCount val="1"/>
                <c:pt idx="0">
                  <c:v>Dwelling completions 2001-2017 derived</c:v>
                </c:pt>
              </c:strCache>
            </c:strRef>
          </c:tx>
          <c:marker>
            <c:symbol val="none"/>
          </c:marker>
          <c:cat>
            <c:numRef>
              <c:f>Sheet1!$A$2:$A$5</c:f>
              <c:numCache>
                <c:formatCode>m/d/yyyy</c:formatCode>
                <c:ptCount val="4"/>
                <c:pt idx="0">
                  <c:v>36892</c:v>
                </c:pt>
                <c:pt idx="1">
                  <c:v>40544</c:v>
                </c:pt>
                <c:pt idx="2">
                  <c:v>42736</c:v>
                </c:pt>
                <c:pt idx="3">
                  <c:v>48580</c:v>
                </c:pt>
              </c:numCache>
            </c:numRef>
          </c:cat>
          <c:val>
            <c:numRef>
              <c:f>Sheet1!$E$2:$E$5</c:f>
              <c:numCache>
                <c:formatCode>General</c:formatCode>
                <c:ptCount val="4"/>
                <c:pt idx="0">
                  <c:v>1666</c:v>
                </c:pt>
                <c:pt idx="1">
                  <c:v>1740</c:v>
                </c:pt>
                <c:pt idx="2">
                  <c:v>1811</c:v>
                </c:pt>
                <c:pt idx="3">
                  <c:v>1947</c:v>
                </c:pt>
              </c:numCache>
            </c:numRef>
          </c:val>
          <c:smooth val="0"/>
        </c:ser>
        <c:ser>
          <c:idx val="4"/>
          <c:order val="4"/>
          <c:tx>
            <c:strRef>
              <c:f>Sheet1!#REF!</c:f>
              <c:strCache>
                <c:ptCount val="1"/>
                <c:pt idx="0">
                  <c:v>#REF!</c:v>
                </c:pt>
              </c:strCache>
            </c:strRef>
          </c:tx>
          <c:marker>
            <c:symbol val="none"/>
          </c:marker>
          <c:cat>
            <c:numRef>
              <c:f>Sheet1!$A$2:$A$5</c:f>
              <c:numCache>
                <c:formatCode>m/d/yyyy</c:formatCode>
                <c:ptCount val="4"/>
                <c:pt idx="0">
                  <c:v>36892</c:v>
                </c:pt>
                <c:pt idx="1">
                  <c:v>40544</c:v>
                </c:pt>
                <c:pt idx="2">
                  <c:v>42736</c:v>
                </c:pt>
                <c:pt idx="3">
                  <c:v>48580</c:v>
                </c:pt>
              </c:numCache>
            </c:numRef>
          </c:cat>
          <c:val>
            <c:numRef>
              <c:f>Sheet1!#REF!</c:f>
              <c:numCache>
                <c:formatCode>General</c:formatCode>
                <c:ptCount val="1"/>
                <c:pt idx="0">
                  <c:v>1</c:v>
                </c:pt>
              </c:numCache>
            </c:numRef>
          </c:val>
          <c:smooth val="0"/>
        </c:ser>
        <c:dLbls>
          <c:showLegendKey val="0"/>
          <c:showVal val="0"/>
          <c:showCatName val="0"/>
          <c:showSerName val="0"/>
          <c:showPercent val="0"/>
          <c:showBubbleSize val="0"/>
        </c:dLbls>
        <c:marker val="1"/>
        <c:smooth val="0"/>
        <c:axId val="190741120"/>
        <c:axId val="190742912"/>
      </c:lineChart>
      <c:dateAx>
        <c:axId val="190741120"/>
        <c:scaling>
          <c:orientation val="minMax"/>
          <c:max val="48945"/>
        </c:scaling>
        <c:delete val="0"/>
        <c:axPos val="b"/>
        <c:numFmt formatCode="yyyy" sourceLinked="0"/>
        <c:majorTickMark val="out"/>
        <c:minorTickMark val="none"/>
        <c:tickLblPos val="nextTo"/>
        <c:crossAx val="190742912"/>
        <c:crosses val="autoZero"/>
        <c:auto val="1"/>
        <c:lblOffset val="100"/>
        <c:baseTimeUnit val="years"/>
        <c:majorUnit val="10"/>
        <c:majorTimeUnit val="years"/>
      </c:dateAx>
      <c:valAx>
        <c:axId val="190742912"/>
        <c:scaling>
          <c:orientation val="minMax"/>
          <c:max val="2100"/>
          <c:min val="1500"/>
        </c:scaling>
        <c:delete val="0"/>
        <c:axPos val="l"/>
        <c:majorGridlines/>
        <c:numFmt formatCode="General" sourceLinked="1"/>
        <c:majorTickMark val="out"/>
        <c:minorTickMark val="none"/>
        <c:tickLblPos val="nextTo"/>
        <c:crossAx val="190741120"/>
        <c:crosses val="autoZero"/>
        <c:crossBetween val="between"/>
      </c:valAx>
    </c:plotArea>
    <c:legend>
      <c:legendPos val="r"/>
      <c:layout>
        <c:manualLayout>
          <c:xMode val="edge"/>
          <c:yMode val="edge"/>
          <c:x val="0.75422277267866078"/>
          <c:y val="0.39505746060193686"/>
          <c:w val="0.24577728564980966"/>
          <c:h val="0.4245989093819705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OUTPUT!$Q$25</c:f>
              <c:strCache>
                <c:ptCount val="1"/>
                <c:pt idx="0">
                  <c:v>West Wittering</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OUTPUT!$Q$26:$Q$31</c:f>
              <c:numCache>
                <c:formatCode>0%</c:formatCode>
                <c:ptCount val="6"/>
                <c:pt idx="0">
                  <c:v>0.10851851851851851</c:v>
                </c:pt>
                <c:pt idx="1">
                  <c:v>6.1851851851851852E-2</c:v>
                </c:pt>
                <c:pt idx="2">
                  <c:v>0.14000000000000001</c:v>
                </c:pt>
                <c:pt idx="3">
                  <c:v>0.2688888888888889</c:v>
                </c:pt>
                <c:pt idx="4">
                  <c:v>0.34333333333333332</c:v>
                </c:pt>
                <c:pt idx="5">
                  <c:v>7.7407407407407411E-2</c:v>
                </c:pt>
              </c:numCache>
            </c:numRef>
          </c:val>
        </c:ser>
        <c:ser>
          <c:idx val="1"/>
          <c:order val="1"/>
          <c:tx>
            <c:strRef>
              <c:f>OUTPUT!$R$25</c:f>
              <c:strCache>
                <c:ptCount val="1"/>
                <c:pt idx="0">
                  <c:v>Chichester</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OUTPUT!$R$26:$R$31</c:f>
              <c:numCache>
                <c:formatCode>0%</c:formatCode>
                <c:ptCount val="6"/>
                <c:pt idx="0">
                  <c:v>0.16374325535616993</c:v>
                </c:pt>
                <c:pt idx="1">
                  <c:v>0.10069072183067648</c:v>
                </c:pt>
                <c:pt idx="2">
                  <c:v>0.2106701583563281</c:v>
                </c:pt>
                <c:pt idx="3">
                  <c:v>0.27976870485262845</c:v>
                </c:pt>
                <c:pt idx="4">
                  <c:v>0.20740988101305868</c:v>
                </c:pt>
                <c:pt idx="5">
                  <c:v>3.7717278591138374E-2</c:v>
                </c:pt>
              </c:numCache>
            </c:numRef>
          </c:val>
        </c:ser>
        <c:ser>
          <c:idx val="2"/>
          <c:order val="2"/>
          <c:tx>
            <c:strRef>
              <c:f>OUTPUT!$S$25</c:f>
              <c:strCache>
                <c:ptCount val="1"/>
                <c:pt idx="0">
                  <c:v>England</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OUTPUT!$S$26:$S$31</c:f>
              <c:numCache>
                <c:formatCode>0%</c:formatCode>
                <c:ptCount val="6"/>
                <c:pt idx="0">
                  <c:v>0.18906567920565684</c:v>
                </c:pt>
                <c:pt idx="1">
                  <c:v>0.11855251528055973</c:v>
                </c:pt>
                <c:pt idx="2">
                  <c:v>0.27531552207277477</c:v>
                </c:pt>
                <c:pt idx="3">
                  <c:v>0.25369847041231214</c:v>
                </c:pt>
                <c:pt idx="4">
                  <c:v>0.14110647882452382</c:v>
                </c:pt>
                <c:pt idx="5">
                  <c:v>2.2261334204172693E-2</c:v>
                </c:pt>
              </c:numCache>
            </c:numRef>
          </c:val>
        </c:ser>
        <c:dLbls>
          <c:showLegendKey val="0"/>
          <c:showVal val="0"/>
          <c:showCatName val="0"/>
          <c:showSerName val="0"/>
          <c:showPercent val="0"/>
          <c:showBubbleSize val="0"/>
        </c:dLbls>
        <c:gapWidth val="150"/>
        <c:axId val="190773888"/>
        <c:axId val="190845696"/>
      </c:barChart>
      <c:catAx>
        <c:axId val="190773888"/>
        <c:scaling>
          <c:orientation val="minMax"/>
        </c:scaling>
        <c:delete val="0"/>
        <c:axPos val="b"/>
        <c:title>
          <c:tx>
            <c:rich>
              <a:bodyPr/>
              <a:lstStyle/>
              <a:p>
                <a:pPr>
                  <a:defRPr/>
                </a:pPr>
                <a:r>
                  <a:rPr lang="en-US"/>
                  <a:t>Age</a:t>
                </a:r>
                <a:r>
                  <a:rPr lang="en-US" baseline="0"/>
                  <a:t> band</a:t>
                </a:r>
                <a:endParaRPr lang="en-US"/>
              </a:p>
            </c:rich>
          </c:tx>
          <c:overlay val="0"/>
        </c:title>
        <c:majorTickMark val="out"/>
        <c:minorTickMark val="none"/>
        <c:tickLblPos val="nextTo"/>
        <c:crossAx val="190845696"/>
        <c:crosses val="autoZero"/>
        <c:auto val="1"/>
        <c:lblAlgn val="ctr"/>
        <c:lblOffset val="100"/>
        <c:noMultiLvlLbl val="0"/>
      </c:catAx>
      <c:valAx>
        <c:axId val="190845696"/>
        <c:scaling>
          <c:orientation val="minMax"/>
        </c:scaling>
        <c:delete val="0"/>
        <c:axPos val="l"/>
        <c:majorGridlines/>
        <c:title>
          <c:tx>
            <c:rich>
              <a:bodyPr rot="-5400000" vert="horz"/>
              <a:lstStyle/>
              <a:p>
                <a:pPr>
                  <a:defRPr b="1"/>
                </a:pPr>
                <a:r>
                  <a:rPr lang="en-CA" b="1"/>
                  <a:t>Percentage of</a:t>
                </a:r>
                <a:r>
                  <a:rPr lang="en-CA" b="1" baseline="0"/>
                  <a:t> Population</a:t>
                </a:r>
              </a:p>
            </c:rich>
          </c:tx>
          <c:overlay val="0"/>
        </c:title>
        <c:numFmt formatCode="0%" sourceLinked="1"/>
        <c:majorTickMark val="out"/>
        <c:minorTickMark val="none"/>
        <c:tickLblPos val="nextTo"/>
        <c:crossAx val="190773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'OUTPUT COMES HERE'!$A$38</c:f>
              <c:strCache>
                <c:ptCount val="1"/>
                <c:pt idx="0">
                  <c:v>Detached</c:v>
                </c:pt>
              </c:strCache>
            </c:strRef>
          </c:tx>
          <c:marker>
            <c:symbol val="none"/>
          </c:marker>
          <c:cat>
            <c:numRef>
              <c:f>'OUTPUT COMES HERE'!$B$37:$K$37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HERE'!$B$38:$K$38</c:f>
              <c:numCache>
                <c:formatCode>#,##0</c:formatCode>
                <c:ptCount val="10"/>
                <c:pt idx="0">
                  <c:v>591476.27586206899</c:v>
                </c:pt>
                <c:pt idx="1">
                  <c:v>520298.38709677418</c:v>
                </c:pt>
                <c:pt idx="2">
                  <c:v>489822.14285714284</c:v>
                </c:pt>
                <c:pt idx="3">
                  <c:v>532190.32258064521</c:v>
                </c:pt>
                <c:pt idx="4">
                  <c:v>485838.55555555556</c:v>
                </c:pt>
                <c:pt idx="5">
                  <c:v>487209.18421052629</c:v>
                </c:pt>
                <c:pt idx="6">
                  <c:v>577435.4444444445</c:v>
                </c:pt>
                <c:pt idx="7">
                  <c:v>580757.15686274506</c:v>
                </c:pt>
                <c:pt idx="8">
                  <c:v>642918.80000000005</c:v>
                </c:pt>
                <c:pt idx="9">
                  <c:v>664593.26530612248</c:v>
                </c:pt>
              </c:numCache>
            </c:numRef>
          </c:val>
          <c:smooth val="0"/>
        </c:ser>
        <c:ser>
          <c:idx val="2"/>
          <c:order val="1"/>
          <c:tx>
            <c:strRef>
              <c:f>'OUTPUT COMES HERE'!$A$39</c:f>
              <c:strCache>
                <c:ptCount val="1"/>
                <c:pt idx="0">
                  <c:v>Semi-Detached</c:v>
                </c:pt>
              </c:strCache>
            </c:strRef>
          </c:tx>
          <c:marker>
            <c:symbol val="none"/>
          </c:marker>
          <c:cat>
            <c:numRef>
              <c:f>'OUTPUT COMES HERE'!$B$37:$K$37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HERE'!$B$39:$K$39</c:f>
              <c:numCache>
                <c:formatCode>#,##0</c:formatCode>
                <c:ptCount val="10"/>
                <c:pt idx="0">
                  <c:v>279040</c:v>
                </c:pt>
                <c:pt idx="1">
                  <c:v>251827.77777777778</c:v>
                </c:pt>
                <c:pt idx="2">
                  <c:v>239105.55555555556</c:v>
                </c:pt>
                <c:pt idx="3">
                  <c:v>279781.66666666669</c:v>
                </c:pt>
                <c:pt idx="4">
                  <c:v>268823.91304347827</c:v>
                </c:pt>
                <c:pt idx="5">
                  <c:v>271057.14285714284</c:v>
                </c:pt>
                <c:pt idx="6">
                  <c:v>443133.33333333331</c:v>
                </c:pt>
                <c:pt idx="7">
                  <c:v>338567.85714285716</c:v>
                </c:pt>
                <c:pt idx="8">
                  <c:v>271669</c:v>
                </c:pt>
                <c:pt idx="9">
                  <c:v>319340.625</c:v>
                </c:pt>
              </c:numCache>
            </c:numRef>
          </c:val>
          <c:smooth val="0"/>
        </c:ser>
        <c:ser>
          <c:idx val="3"/>
          <c:order val="2"/>
          <c:tx>
            <c:strRef>
              <c:f>'OUTPUT COMES HERE'!$A$40</c:f>
              <c:strCache>
                <c:ptCount val="1"/>
                <c:pt idx="0">
                  <c:v>Terraced</c:v>
                </c:pt>
              </c:strCache>
            </c:strRef>
          </c:tx>
          <c:marker>
            <c:symbol val="none"/>
          </c:marker>
          <c:cat>
            <c:numRef>
              <c:f>'OUTPUT COMES HERE'!$B$37:$K$37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HERE'!$B$40:$K$40</c:f>
              <c:numCache>
                <c:formatCode>#,##0</c:formatCode>
                <c:ptCount val="10"/>
                <c:pt idx="0">
                  <c:v>203000</c:v>
                </c:pt>
                <c:pt idx="1">
                  <c:v>229500</c:v>
                </c:pt>
                <c:pt idx="2">
                  <c:v>195166.66666666666</c:v>
                </c:pt>
                <c:pt idx="3">
                  <c:v>335250</c:v>
                </c:pt>
                <c:pt idx="4">
                  <c:v>411250</c:v>
                </c:pt>
                <c:pt idx="5">
                  <c:v>247550</c:v>
                </c:pt>
                <c:pt idx="6">
                  <c:v>341250</c:v>
                </c:pt>
                <c:pt idx="7">
                  <c:v>244916.33333333334</c:v>
                </c:pt>
                <c:pt idx="8">
                  <c:v>242333.33333333334</c:v>
                </c:pt>
                <c:pt idx="9">
                  <c:v>314650</c:v>
                </c:pt>
              </c:numCache>
            </c:numRef>
          </c:val>
          <c:smooth val="0"/>
        </c:ser>
        <c:ser>
          <c:idx val="4"/>
          <c:order val="3"/>
          <c:tx>
            <c:strRef>
              <c:f>'OUTPUT COMES HERE'!$A$41</c:f>
              <c:strCache>
                <c:ptCount val="1"/>
                <c:pt idx="0">
                  <c:v>Flats</c:v>
                </c:pt>
              </c:strCache>
            </c:strRef>
          </c:tx>
          <c:marker>
            <c:symbol val="none"/>
          </c:marker>
          <c:cat>
            <c:numRef>
              <c:f>'OUTPUT COMES HERE'!$B$37:$K$37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HERE'!$B$41:$K$41</c:f>
              <c:numCache>
                <c:formatCode>#,##0</c:formatCode>
                <c:ptCount val="10"/>
                <c:pt idx="0">
                  <c:v>198589.85714285713</c:v>
                </c:pt>
                <c:pt idx="1">
                  <c:v>186750</c:v>
                </c:pt>
                <c:pt idx="2">
                  <c:v>185100</c:v>
                </c:pt>
                <c:pt idx="3">
                  <c:v>212666.66666666666</c:v>
                </c:pt>
                <c:pt idx="4">
                  <c:v>162440</c:v>
                </c:pt>
                <c:pt idx="5">
                  <c:v>231500</c:v>
                </c:pt>
                <c:pt idx="6">
                  <c:v>203666.66666666666</c:v>
                </c:pt>
                <c:pt idx="7">
                  <c:v>213885.71428571429</c:v>
                </c:pt>
                <c:pt idx="8">
                  <c:v>212625</c:v>
                </c:pt>
                <c:pt idx="9">
                  <c:v>284992.85714285716</c:v>
                </c:pt>
              </c:numCache>
            </c:numRef>
          </c:val>
          <c:smooth val="0"/>
        </c:ser>
        <c:ser>
          <c:idx val="0"/>
          <c:order val="4"/>
          <c:tx>
            <c:strRef>
              <c:f>'OUTPUT COMES HERE'!$A$42</c:f>
              <c:strCache>
                <c:ptCount val="1"/>
                <c:pt idx="0">
                  <c:v>All Types</c:v>
                </c:pt>
              </c:strCache>
            </c:strRef>
          </c:tx>
          <c:marker>
            <c:symbol val="none"/>
          </c:marker>
          <c:cat>
            <c:numRef>
              <c:f>'OUTPUT COMES HERE'!$B$37:$K$37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HERE'!$B$42:$K$42</c:f>
              <c:numCache>
                <c:formatCode>#,##0</c:formatCode>
                <c:ptCount val="10"/>
                <c:pt idx="0">
                  <c:v>457184.92708333331</c:v>
                </c:pt>
                <c:pt idx="1">
                  <c:v>411468.36734693876</c:v>
                </c:pt>
                <c:pt idx="2">
                  <c:v>410770.84745762713</c:v>
                </c:pt>
                <c:pt idx="3">
                  <c:v>427804.24528301886</c:v>
                </c:pt>
                <c:pt idx="4">
                  <c:v>395738.46666666667</c:v>
                </c:pt>
                <c:pt idx="5">
                  <c:v>406668.62711864407</c:v>
                </c:pt>
                <c:pt idx="6">
                  <c:v>520682.45569620252</c:v>
                </c:pt>
                <c:pt idx="7">
                  <c:v>487873.52</c:v>
                </c:pt>
                <c:pt idx="8">
                  <c:v>480680.23529411765</c:v>
                </c:pt>
                <c:pt idx="9">
                  <c:v>541512.26666666672</c:v>
                </c:pt>
              </c:numCache>
            </c:numRef>
          </c:val>
          <c:smooth val="0"/>
        </c:ser>
        <c:dLbls>
          <c:showLegendKey val="0"/>
          <c:showVal val="0"/>
          <c:showCatName val="0"/>
          <c:showSerName val="0"/>
          <c:showPercent val="0"/>
          <c:showBubbleSize val="0"/>
        </c:dLbls>
        <c:marker val="1"/>
        <c:smooth val="0"/>
        <c:axId val="190903040"/>
        <c:axId val="190904576"/>
      </c:lineChart>
      <c:catAx>
        <c:axId val="190903040"/>
        <c:scaling>
          <c:orientation val="minMax"/>
        </c:scaling>
        <c:delete val="0"/>
        <c:axPos val="b"/>
        <c:numFmt formatCode="General" sourceLinked="1"/>
        <c:majorTickMark val="out"/>
        <c:minorTickMark val="none"/>
        <c:tickLblPos val="nextTo"/>
        <c:crossAx val="190904576"/>
        <c:crosses val="autoZero"/>
        <c:auto val="1"/>
        <c:lblAlgn val="ctr"/>
        <c:lblOffset val="100"/>
        <c:noMultiLvlLbl val="0"/>
      </c:catAx>
      <c:valAx>
        <c:axId val="190904576"/>
        <c:scaling>
          <c:orientation val="minMax"/>
        </c:scaling>
        <c:delete val="0"/>
        <c:axPos val="l"/>
        <c:majorGridlines/>
        <c:numFmt formatCode="#,##0" sourceLinked="1"/>
        <c:majorTickMark val="out"/>
        <c:minorTickMark val="none"/>
        <c:tickLblPos val="nextTo"/>
        <c:crossAx val="19090304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'OUTPUT COMES HERE'!$A$4</c:f>
              <c:strCache>
                <c:ptCount val="1"/>
                <c:pt idx="0">
                  <c:v>Detached</c:v>
                </c:pt>
              </c:strCache>
            </c:strRef>
          </c:tx>
          <c:invertIfNegative val="0"/>
          <c:cat>
            <c:numRef>
              <c:f>'OUTPUT COMES HERE'!$B$3:$K$3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HERE'!$B$4:$K$4</c:f>
              <c:numCache>
                <c:formatCode>General</c:formatCode>
                <c:ptCount val="10"/>
                <c:pt idx="0">
                  <c:v>58</c:v>
                </c:pt>
                <c:pt idx="1">
                  <c:v>31</c:v>
                </c:pt>
                <c:pt idx="2">
                  <c:v>42</c:v>
                </c:pt>
                <c:pt idx="3">
                  <c:v>31</c:v>
                </c:pt>
                <c:pt idx="4">
                  <c:v>45</c:v>
                </c:pt>
                <c:pt idx="5">
                  <c:v>38</c:v>
                </c:pt>
                <c:pt idx="6">
                  <c:v>54</c:v>
                </c:pt>
                <c:pt idx="7">
                  <c:v>51</c:v>
                </c:pt>
                <c:pt idx="8">
                  <c:v>50</c:v>
                </c:pt>
                <c:pt idx="9">
                  <c:v>49</c:v>
                </c:pt>
              </c:numCache>
            </c:numRef>
          </c:val>
        </c:ser>
        <c:ser>
          <c:idx val="1"/>
          <c:order val="1"/>
          <c:tx>
            <c:strRef>
              <c:f>'OUTPUT COMES HERE'!$A$5</c:f>
              <c:strCache>
                <c:ptCount val="1"/>
                <c:pt idx="0">
                  <c:v>Semi-Detached</c:v>
                </c:pt>
              </c:strCache>
            </c:strRef>
          </c:tx>
          <c:invertIfNegative val="0"/>
          <c:cat>
            <c:numRef>
              <c:f>'OUTPUT COMES HERE'!$B$3:$K$3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HERE'!$B$5:$K$5</c:f>
              <c:numCache>
                <c:formatCode>General</c:formatCode>
                <c:ptCount val="10"/>
                <c:pt idx="0">
                  <c:v>25</c:v>
                </c:pt>
                <c:pt idx="1">
                  <c:v>9</c:v>
                </c:pt>
                <c:pt idx="2">
                  <c:v>9</c:v>
                </c:pt>
                <c:pt idx="3">
                  <c:v>15</c:v>
                </c:pt>
                <c:pt idx="4">
                  <c:v>23</c:v>
                </c:pt>
                <c:pt idx="5">
                  <c:v>14</c:v>
                </c:pt>
                <c:pt idx="6">
                  <c:v>18</c:v>
                </c:pt>
                <c:pt idx="7">
                  <c:v>14</c:v>
                </c:pt>
                <c:pt idx="8">
                  <c:v>20</c:v>
                </c:pt>
                <c:pt idx="9">
                  <c:v>16</c:v>
                </c:pt>
              </c:numCache>
            </c:numRef>
          </c:val>
        </c:ser>
        <c:ser>
          <c:idx val="2"/>
          <c:order val="2"/>
          <c:tx>
            <c:strRef>
              <c:f>'OUTPUT COMES HERE'!$A$6</c:f>
              <c:strCache>
                <c:ptCount val="1"/>
                <c:pt idx="0">
                  <c:v>Terraced</c:v>
                </c:pt>
              </c:strCache>
            </c:strRef>
          </c:tx>
          <c:invertIfNegative val="0"/>
          <c:cat>
            <c:numRef>
              <c:f>'OUTPUT COMES HERE'!$B$3:$K$3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HERE'!$B$6:$K$6</c:f>
              <c:numCache>
                <c:formatCode>General</c:formatCode>
                <c:ptCount val="10"/>
                <c:pt idx="0">
                  <c:v>6</c:v>
                </c:pt>
                <c:pt idx="1">
                  <c:v>2</c:v>
                </c:pt>
                <c:pt idx="2">
                  <c:v>3</c:v>
                </c:pt>
                <c:pt idx="3">
                  <c:v>4</c:v>
                </c:pt>
                <c:pt idx="4">
                  <c:v>2</c:v>
                </c:pt>
                <c:pt idx="5">
                  <c:v>4</c:v>
                </c:pt>
                <c:pt idx="6">
                  <c:v>4</c:v>
                </c:pt>
                <c:pt idx="7">
                  <c:v>3</c:v>
                </c:pt>
                <c:pt idx="8">
                  <c:v>3</c:v>
                </c:pt>
                <c:pt idx="9">
                  <c:v>3</c:v>
                </c:pt>
              </c:numCache>
            </c:numRef>
          </c:val>
        </c:ser>
        <c:ser>
          <c:idx val="3"/>
          <c:order val="3"/>
          <c:tx>
            <c:strRef>
              <c:f>'OUTPUT COMES HERE'!$A$7</c:f>
              <c:strCache>
                <c:ptCount val="1"/>
                <c:pt idx="0">
                  <c:v>Flats</c:v>
                </c:pt>
              </c:strCache>
            </c:strRef>
          </c:tx>
          <c:invertIfNegative val="0"/>
          <c:cat>
            <c:numRef>
              <c:f>'OUTPUT COMES HERE'!$B$3:$K$3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'OUTPUT COMES HERE'!$B$7:$K$7</c:f>
              <c:numCache>
                <c:formatCode>General</c:formatCode>
                <c:ptCount val="10"/>
                <c:pt idx="0">
                  <c:v>7</c:v>
                </c:pt>
                <c:pt idx="1">
                  <c:v>7</c:v>
                </c:pt>
                <c:pt idx="2">
                  <c:v>5</c:v>
                </c:pt>
                <c:pt idx="3">
                  <c:v>3</c:v>
                </c:pt>
                <c:pt idx="4">
                  <c:v>5</c:v>
                </c:pt>
                <c:pt idx="5">
                  <c:v>3</c:v>
                </c:pt>
                <c:pt idx="6">
                  <c:v>3</c:v>
                </c:pt>
                <c:pt idx="7">
                  <c:v>7</c:v>
                </c:pt>
                <c:pt idx="8">
                  <c:v>12</c:v>
                </c:pt>
                <c:pt idx="9">
                  <c:v>7</c:v>
                </c:pt>
              </c:numCache>
            </c:numRef>
          </c:val>
        </c:ser>
        <c:dLbls>
          <c:showLegendKey val="0"/>
          <c:showVal val="0"/>
          <c:showCatName val="0"/>
          <c:showSerName val="0"/>
          <c:showPercent val="0"/>
          <c:showBubbleSize val="0"/>
        </c:dLbls>
        <c:gapWidth val="150"/>
        <c:overlap val="100"/>
        <c:axId val="191001344"/>
        <c:axId val="191002880"/>
      </c:barChart>
      <c:catAx>
        <c:axId val="191001344"/>
        <c:scaling>
          <c:orientation val="minMax"/>
        </c:scaling>
        <c:delete val="0"/>
        <c:axPos val="b"/>
        <c:numFmt formatCode="General" sourceLinked="1"/>
        <c:majorTickMark val="out"/>
        <c:minorTickMark val="none"/>
        <c:tickLblPos val="nextTo"/>
        <c:crossAx val="191002880"/>
        <c:crosses val="autoZero"/>
        <c:auto val="1"/>
        <c:lblAlgn val="ctr"/>
        <c:lblOffset val="100"/>
        <c:noMultiLvlLbl val="0"/>
      </c:catAx>
      <c:valAx>
        <c:axId val="191002880"/>
        <c:scaling>
          <c:orientation val="minMax"/>
        </c:scaling>
        <c:delete val="0"/>
        <c:axPos val="l"/>
        <c:majorGridlines/>
        <c:numFmt formatCode="General" sourceLinked="1"/>
        <c:majorTickMark val="out"/>
        <c:minorTickMark val="none"/>
        <c:tickLblPos val="nextTo"/>
        <c:crossAx val="1910013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B24F8-C347-412B-888B-E9CB3A15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1</TotalTime>
  <Pages>58</Pages>
  <Words>21296</Words>
  <Characters>121388</Characters>
  <Application>Microsoft Office Word</Application>
  <DocSecurity>4</DocSecurity>
  <Lines>1011</Lines>
  <Paragraphs>284</Paragraphs>
  <ScaleCrop>false</ScaleCrop>
  <HeadingPairs>
    <vt:vector size="2" baseType="variant">
      <vt:variant>
        <vt:lpstr>Title</vt:lpstr>
      </vt:variant>
      <vt:variant>
        <vt:i4>1</vt:i4>
      </vt:variant>
    </vt:vector>
  </HeadingPairs>
  <TitlesOfParts>
    <vt:vector size="1" baseType="lpstr">
      <vt:lpstr>Report HNA Template  2017-06-29</vt:lpstr>
    </vt:vector>
  </TitlesOfParts>
  <Company>AECOM Limited</Company>
  <LinksUpToDate>false</LinksUpToDate>
  <CharactersWithSpaces>142400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HNA Template  2017-06-29</dc:title>
  <dc:creator>Corbin, Thomas</dc:creator>
  <cp:keywords>Project ref:   Project number:</cp:keywords>
  <cp:lastModifiedBy>Ivan Tennant</cp:lastModifiedBy>
  <cp:revision>2</cp:revision>
  <cp:lastPrinted>2018-01-04T08:50:00Z</cp:lastPrinted>
  <dcterms:created xsi:type="dcterms:W3CDTF">2018-01-24T12:26:00Z</dcterms:created>
  <dcterms:modified xsi:type="dcterms:W3CDTF">2018-01-24T12:26:00Z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1.7</vt:lpwstr>
  </property>
  <property fmtid="{D5CDD505-2E9C-101B-9397-08002B2CF9AE}" pid="4" name="HeaderTitle">
    <vt:lpwstr>HNA Template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June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HNA Template </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ies>
</file>