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62" w:rsidRPr="002508E8" w:rsidRDefault="002508E8" w:rsidP="002508E8">
      <w:pPr>
        <w:jc w:val="center"/>
      </w:pPr>
      <w:r>
        <w:rPr>
          <w:noProof/>
        </w:rPr>
        <w:drawing>
          <wp:inline distT="0" distB="0" distL="0" distR="0" wp14:anchorId="14F0303E" wp14:editId="5D776A1A">
            <wp:extent cx="1371600" cy="1285875"/>
            <wp:effectExtent l="0" t="0" r="0" b="9525"/>
            <wp:docPr id="31" name="Picture 3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85875"/>
                    </a:xfrm>
                    <a:prstGeom prst="rect">
                      <a:avLst/>
                    </a:prstGeom>
                  </pic:spPr>
                </pic:pic>
              </a:graphicData>
            </a:graphic>
          </wp:inline>
        </w:drawing>
      </w:r>
    </w:p>
    <w:p w:rsidR="00006562" w:rsidRPr="002508E8" w:rsidRDefault="00006562" w:rsidP="002508E8">
      <w:pPr>
        <w:jc w:val="center"/>
        <w:rPr>
          <w:rFonts w:ascii="Century Gothic" w:hAnsi="Century Gothic"/>
          <w:b/>
          <w:sz w:val="40"/>
          <w:szCs w:val="40"/>
        </w:rPr>
      </w:pPr>
    </w:p>
    <w:p w:rsidR="00006562" w:rsidRPr="002508E8" w:rsidRDefault="002508E8" w:rsidP="002508E8">
      <w:pPr>
        <w:jc w:val="center"/>
        <w:rPr>
          <w:rFonts w:ascii="Century Gothic" w:hAnsi="Century Gothic"/>
          <w:b/>
          <w:sz w:val="52"/>
          <w:szCs w:val="52"/>
        </w:rPr>
      </w:pPr>
      <w:r w:rsidRPr="002508E8">
        <w:rPr>
          <w:rFonts w:ascii="Century Gothic" w:hAnsi="Century Gothic"/>
          <w:b/>
          <w:sz w:val="52"/>
          <w:szCs w:val="52"/>
        </w:rPr>
        <w:t>West Wittering</w:t>
      </w:r>
      <w:r w:rsidR="00006562" w:rsidRPr="002508E8">
        <w:rPr>
          <w:rFonts w:ascii="Century Gothic" w:hAnsi="Century Gothic"/>
          <w:b/>
          <w:sz w:val="52"/>
          <w:szCs w:val="52"/>
        </w:rPr>
        <w:t xml:space="preserve"> Neighbourhood Plan</w:t>
      </w:r>
    </w:p>
    <w:p w:rsidR="00006562" w:rsidRPr="002508E8" w:rsidRDefault="00006562" w:rsidP="002508E8">
      <w:pPr>
        <w:jc w:val="center"/>
        <w:rPr>
          <w:rFonts w:ascii="Century Gothic" w:hAnsi="Century Gothic"/>
          <w:b/>
          <w:sz w:val="40"/>
          <w:szCs w:val="40"/>
        </w:rPr>
      </w:pPr>
    </w:p>
    <w:p w:rsidR="00006562" w:rsidRPr="002508E8" w:rsidRDefault="00964ED8" w:rsidP="002508E8">
      <w:pPr>
        <w:jc w:val="center"/>
        <w:rPr>
          <w:rFonts w:ascii="Century Gothic" w:hAnsi="Century Gothic"/>
          <w:b/>
          <w:sz w:val="40"/>
          <w:szCs w:val="40"/>
        </w:rPr>
      </w:pPr>
      <w:r>
        <w:rPr>
          <w:rFonts w:ascii="Century Gothic" w:hAnsi="Century Gothic"/>
          <w:b/>
          <w:sz w:val="40"/>
          <w:szCs w:val="40"/>
        </w:rPr>
        <w:t xml:space="preserve">Housing </w:t>
      </w:r>
      <w:r w:rsidR="00006562" w:rsidRPr="002508E8">
        <w:rPr>
          <w:rFonts w:ascii="Century Gothic" w:hAnsi="Century Gothic"/>
          <w:b/>
          <w:sz w:val="40"/>
          <w:szCs w:val="40"/>
        </w:rPr>
        <w:t xml:space="preserve"> Focus Group</w:t>
      </w:r>
      <w:r w:rsidR="002508E8" w:rsidRPr="002508E8">
        <w:rPr>
          <w:rFonts w:ascii="Century Gothic" w:hAnsi="Century Gothic"/>
          <w:b/>
          <w:sz w:val="40"/>
          <w:szCs w:val="40"/>
        </w:rPr>
        <w:t xml:space="preserve"> </w:t>
      </w:r>
      <w:r w:rsidR="00006562" w:rsidRPr="002508E8">
        <w:rPr>
          <w:rFonts w:ascii="Century Gothic" w:hAnsi="Century Gothic"/>
          <w:b/>
          <w:sz w:val="40"/>
          <w:szCs w:val="40"/>
        </w:rPr>
        <w:t>Working Paper</w:t>
      </w:r>
    </w:p>
    <w:p w:rsidR="00006562" w:rsidRPr="002508E8" w:rsidRDefault="00006562"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006562" w:rsidRPr="002508E8" w:rsidRDefault="00964ED8" w:rsidP="002508E8">
      <w:pPr>
        <w:jc w:val="center"/>
        <w:rPr>
          <w:rFonts w:ascii="Century Gothic" w:hAnsi="Century Gothic"/>
          <w:b/>
          <w:sz w:val="40"/>
          <w:szCs w:val="40"/>
        </w:rPr>
      </w:pPr>
      <w:r>
        <w:rPr>
          <w:rFonts w:ascii="Century Gothic" w:hAnsi="Century Gothic"/>
          <w:b/>
          <w:sz w:val="40"/>
          <w:szCs w:val="40"/>
        </w:rPr>
        <w:t xml:space="preserve">December </w:t>
      </w:r>
      <w:r w:rsidR="00006562" w:rsidRPr="002508E8">
        <w:rPr>
          <w:rFonts w:ascii="Century Gothic" w:hAnsi="Century Gothic"/>
          <w:b/>
          <w:sz w:val="40"/>
          <w:szCs w:val="40"/>
        </w:rPr>
        <w:t xml:space="preserve"> 2017</w:t>
      </w:r>
    </w:p>
    <w:p w:rsidR="002508E8" w:rsidRPr="002508E8" w:rsidRDefault="002508E8" w:rsidP="002508E8">
      <w:pPr>
        <w:jc w:val="center"/>
      </w:pPr>
    </w:p>
    <w:p w:rsidR="002508E8" w:rsidRPr="002508E8" w:rsidRDefault="002508E8" w:rsidP="002508E8">
      <w:pPr>
        <w:jc w:val="center"/>
      </w:pPr>
    </w:p>
    <w:p w:rsidR="002508E8" w:rsidRPr="002508E8" w:rsidRDefault="002508E8" w:rsidP="002508E8">
      <w:pPr>
        <w:jc w:val="center"/>
      </w:pPr>
      <w:r w:rsidRPr="002508E8">
        <w:rPr>
          <w:noProof/>
        </w:rPr>
        <w:drawing>
          <wp:inline distT="0" distB="0" distL="0" distR="0" wp14:anchorId="6D3DFD33" wp14:editId="7E27729A">
            <wp:extent cx="5731510" cy="985001"/>
            <wp:effectExtent l="0" t="0" r="2540" b="571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985001"/>
                    </a:xfrm>
                    <a:prstGeom prst="rect">
                      <a:avLst/>
                    </a:prstGeom>
                    <a:noFill/>
                  </pic:spPr>
                </pic:pic>
              </a:graphicData>
            </a:graphic>
          </wp:inline>
        </w:drawing>
      </w:r>
    </w:p>
    <w:p w:rsidR="002508E8" w:rsidRPr="002508E8" w:rsidRDefault="002508E8" w:rsidP="002508E8">
      <w:pPr>
        <w:jc w:val="center"/>
      </w:pPr>
    </w:p>
    <w:p w:rsidR="002262A4" w:rsidRPr="002508E8" w:rsidRDefault="002262A4" w:rsidP="002508E8"/>
    <w:p w:rsidR="002262A4" w:rsidRPr="002508E8" w:rsidRDefault="002262A4" w:rsidP="002508E8">
      <w:r w:rsidRPr="002508E8">
        <w:lastRenderedPageBreak/>
        <w:t>CONTENTS</w:t>
      </w:r>
    </w:p>
    <w:p w:rsidR="002262A4" w:rsidRDefault="002262A4"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Pr="002508E8" w:rsidRDefault="002508E8" w:rsidP="002508E8"/>
    <w:p w:rsidR="00DB512F" w:rsidRPr="002508E8" w:rsidRDefault="00DB512F" w:rsidP="002508E8"/>
    <w:p w:rsidR="004A75B4" w:rsidRPr="002508E8" w:rsidRDefault="004A75B4" w:rsidP="002508E8"/>
    <w:p w:rsidR="00DB512F" w:rsidRPr="002508E8" w:rsidRDefault="00006562" w:rsidP="002508E8">
      <w:pPr>
        <w:rPr>
          <w:b/>
        </w:rPr>
      </w:pPr>
      <w:r w:rsidRPr="002508E8">
        <w:rPr>
          <w:b/>
        </w:rPr>
        <w:t>INTRODUCTION</w:t>
      </w:r>
    </w:p>
    <w:p w:rsidR="00006562" w:rsidRPr="002508E8" w:rsidRDefault="00006562" w:rsidP="002508E8">
      <w:pPr>
        <w:rPr>
          <w:b/>
        </w:rPr>
      </w:pPr>
      <w:r w:rsidRPr="002508E8">
        <w:rPr>
          <w:b/>
        </w:rPr>
        <w:t>Overview</w:t>
      </w:r>
    </w:p>
    <w:p w:rsidR="002508E8" w:rsidRDefault="00F11F4E" w:rsidP="002508E8">
      <w:r w:rsidRPr="002508E8">
        <w:t xml:space="preserve">This report sets out the work undertaken by the </w:t>
      </w:r>
      <w:r w:rsidR="00964ED8">
        <w:t>Housing</w:t>
      </w:r>
      <w:r w:rsidRPr="002508E8">
        <w:t xml:space="preserve"> Focus Group, and our proposed </w:t>
      </w:r>
      <w:r w:rsidR="002508E8">
        <w:t xml:space="preserve">recommendations to be considered for the West Wittering draft Neighbourhood Plan. </w:t>
      </w:r>
    </w:p>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F11F4E" w:rsidRDefault="002508E8" w:rsidP="002508E8">
      <w:pPr>
        <w:rPr>
          <w:b/>
        </w:rPr>
      </w:pPr>
      <w:r w:rsidRPr="002508E8">
        <w:rPr>
          <w:b/>
        </w:rPr>
        <w:t>T</w:t>
      </w:r>
      <w:r w:rsidR="00EE7B74" w:rsidRPr="002508E8">
        <w:rPr>
          <w:b/>
        </w:rPr>
        <w:t xml:space="preserve">he </w:t>
      </w:r>
      <w:r w:rsidR="00964ED8">
        <w:rPr>
          <w:b/>
        </w:rPr>
        <w:t xml:space="preserve">Housing </w:t>
      </w:r>
      <w:r w:rsidR="00EE7B74" w:rsidRPr="002508E8">
        <w:rPr>
          <w:b/>
        </w:rPr>
        <w:t>Focus Group</w:t>
      </w:r>
      <w:r w:rsidRPr="002508E8">
        <w:rPr>
          <w:b/>
        </w:rPr>
        <w:t xml:space="preserve"> Members</w:t>
      </w:r>
      <w:r w:rsidR="00964ED8">
        <w:rPr>
          <w:b/>
        </w:rPr>
        <w:t>;</w:t>
      </w:r>
    </w:p>
    <w:p w:rsidR="00964ED8" w:rsidRDefault="00964ED8" w:rsidP="002508E8">
      <w:pPr>
        <w:rPr>
          <w:b/>
        </w:rPr>
      </w:pPr>
      <w:r>
        <w:rPr>
          <w:b/>
        </w:rPr>
        <w:t>Bob Hutton</w:t>
      </w:r>
    </w:p>
    <w:p w:rsidR="00964ED8" w:rsidRDefault="00964ED8" w:rsidP="002508E8">
      <w:pPr>
        <w:rPr>
          <w:b/>
        </w:rPr>
      </w:pPr>
      <w:r>
        <w:rPr>
          <w:b/>
        </w:rPr>
        <w:t>Andrew Thompson</w:t>
      </w:r>
    </w:p>
    <w:p w:rsidR="00964ED8" w:rsidRDefault="00964ED8" w:rsidP="002508E8">
      <w:pPr>
        <w:rPr>
          <w:b/>
        </w:rPr>
      </w:pPr>
      <w:r>
        <w:rPr>
          <w:b/>
        </w:rPr>
        <w:t>Nigel Carter</w:t>
      </w:r>
    </w:p>
    <w:p w:rsidR="00964ED8" w:rsidRPr="002508E8" w:rsidRDefault="00964ED8" w:rsidP="002508E8">
      <w:pPr>
        <w:rPr>
          <w:b/>
        </w:rPr>
      </w:pPr>
    </w:p>
    <w:p w:rsidR="00F11F4E" w:rsidRPr="002508E8" w:rsidRDefault="00F11F4E" w:rsidP="002508E8">
      <w:pPr>
        <w:rPr>
          <w:highlight w:val="yellow"/>
        </w:rPr>
      </w:pPr>
      <w:r w:rsidRPr="002508E8">
        <w:rPr>
          <w:highlight w:val="yellow"/>
        </w:rPr>
        <w:br w:type="page"/>
      </w:r>
    </w:p>
    <w:p w:rsidR="00561977" w:rsidRPr="002508E8" w:rsidRDefault="00B60827" w:rsidP="002508E8">
      <w:r w:rsidRPr="002508E8">
        <w:rPr>
          <w:b/>
        </w:rPr>
        <w:t>Introduction</w:t>
      </w:r>
      <w:r w:rsidR="006E1A9A" w:rsidRPr="002508E8">
        <w:rPr>
          <w:b/>
        </w:rPr>
        <w:t xml:space="preserve"> </w:t>
      </w:r>
      <w:r w:rsidR="002508E8">
        <w:rPr>
          <w:b/>
        </w:rPr>
        <w:t>(</w:t>
      </w:r>
      <w:r w:rsidR="002508E8">
        <w:t>About West Wittering in relation to focus group area)</w:t>
      </w:r>
    </w:p>
    <w:p w:rsidR="002508E8" w:rsidRDefault="002508E8" w:rsidP="002508E8"/>
    <w:p w:rsidR="002508E8" w:rsidRDefault="002508E8"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DB512F" w:rsidRPr="00BC497C" w:rsidRDefault="00DB512F" w:rsidP="00BC497C">
      <w:pPr>
        <w:rPr>
          <w:b/>
        </w:rPr>
      </w:pPr>
      <w:r w:rsidRPr="00BC497C">
        <w:rPr>
          <w:b/>
        </w:rPr>
        <w:t>Aim and Objectives of group</w:t>
      </w:r>
      <w:r w:rsidR="00BC497C">
        <w:rPr>
          <w:b/>
        </w:rPr>
        <w:t xml:space="preserve"> (Example from a different parish below)</w:t>
      </w:r>
    </w:p>
    <w:p w:rsidR="00BC497C" w:rsidRPr="00BC497C" w:rsidRDefault="00BC497C" w:rsidP="00BC497C">
      <w:pPr>
        <w:rPr>
          <w:color w:val="FF0000"/>
        </w:rPr>
      </w:pPr>
      <w:r w:rsidRPr="00BC497C">
        <w:rPr>
          <w:color w:val="FF0000"/>
        </w:rPr>
        <w:t xml:space="preserve">The Focus Group’s aim and objectives are based upon a strong foundation of evidence from the following 5 bullet points: </w:t>
      </w:r>
    </w:p>
    <w:p w:rsidR="00BC497C" w:rsidRPr="00BC497C" w:rsidRDefault="00BC497C" w:rsidP="00BC497C">
      <w:pPr>
        <w:pStyle w:val="ListParagraph"/>
        <w:numPr>
          <w:ilvl w:val="0"/>
          <w:numId w:val="4"/>
        </w:numPr>
        <w:rPr>
          <w:color w:val="FF0000"/>
        </w:rPr>
      </w:pPr>
      <w:r w:rsidRPr="00BC497C">
        <w:rPr>
          <w:color w:val="FF0000"/>
        </w:rPr>
        <w:t xml:space="preserve">Responses given in the Neighbourhood Plan, Housing Needs and Young People’s surveys; </w:t>
      </w:r>
    </w:p>
    <w:p w:rsidR="00BC497C" w:rsidRPr="00BC497C" w:rsidRDefault="00BC497C" w:rsidP="00BC497C">
      <w:pPr>
        <w:pStyle w:val="ListParagraph"/>
        <w:numPr>
          <w:ilvl w:val="0"/>
          <w:numId w:val="4"/>
        </w:numPr>
        <w:rPr>
          <w:color w:val="FF0000"/>
        </w:rPr>
      </w:pPr>
      <w:r w:rsidRPr="00BC497C">
        <w:rPr>
          <w:color w:val="FF0000"/>
        </w:rPr>
        <w:t xml:space="preserve">Input from the Neighbourhood Plan Steering Group and Focus Groups </w:t>
      </w:r>
    </w:p>
    <w:p w:rsidR="00BC497C" w:rsidRPr="00BC497C" w:rsidRDefault="00BC497C" w:rsidP="00BC497C">
      <w:pPr>
        <w:pStyle w:val="ListParagraph"/>
        <w:numPr>
          <w:ilvl w:val="0"/>
          <w:numId w:val="4"/>
        </w:numPr>
        <w:rPr>
          <w:color w:val="FF0000"/>
        </w:rPr>
      </w:pPr>
      <w:r w:rsidRPr="00BC497C">
        <w:rPr>
          <w:color w:val="FF0000"/>
        </w:rPr>
        <w:t xml:space="preserve">Input from Neighbourhood Plan workshops; </w:t>
      </w:r>
    </w:p>
    <w:p w:rsidR="00BC497C" w:rsidRPr="00BC497C" w:rsidRDefault="00BC497C" w:rsidP="00BC497C">
      <w:pPr>
        <w:pStyle w:val="ListParagraph"/>
        <w:numPr>
          <w:ilvl w:val="0"/>
          <w:numId w:val="4"/>
        </w:numPr>
        <w:rPr>
          <w:color w:val="FF0000"/>
        </w:rPr>
      </w:pPr>
      <w:r w:rsidRPr="00BC497C">
        <w:rPr>
          <w:color w:val="FF0000"/>
        </w:rPr>
        <w:t xml:space="preserve">Input from local stakeholder groups; </w:t>
      </w:r>
    </w:p>
    <w:p w:rsidR="00BC497C" w:rsidRPr="00BC497C" w:rsidRDefault="00BC497C" w:rsidP="00BC497C">
      <w:pPr>
        <w:rPr>
          <w:b/>
          <w:color w:val="FF0000"/>
        </w:rPr>
      </w:pPr>
      <w:r w:rsidRPr="00BC497C">
        <w:rPr>
          <w:b/>
          <w:i/>
          <w:color w:val="FF0000"/>
        </w:rPr>
        <w:t>The Focus Group’s aim is: Within the constraints of the limited space available, to meet the demand from and needs of the local community for high quality, well designed new market and affordable homes within the core area of the town whilst conserving and enhancing the natural and historic environment. We will do this by setting out specific proposals in the Neighbourhood Plan that complement the existing national and district policies</w:t>
      </w:r>
      <w:r w:rsidRPr="00BC497C">
        <w:rPr>
          <w:b/>
          <w:color w:val="FF0000"/>
        </w:rPr>
        <w:t xml:space="preserve">. </w:t>
      </w:r>
    </w:p>
    <w:p w:rsidR="00BC497C" w:rsidRPr="00BC497C" w:rsidRDefault="00BC497C" w:rsidP="00BC497C">
      <w:pPr>
        <w:rPr>
          <w:color w:val="FF0000"/>
        </w:rPr>
      </w:pPr>
      <w:r w:rsidRPr="00BC497C">
        <w:rPr>
          <w:color w:val="FF0000"/>
        </w:rPr>
        <w:t xml:space="preserve">In delivering this aim, the Focus Group has the following objectives: </w:t>
      </w:r>
    </w:p>
    <w:p w:rsidR="00BC497C" w:rsidRPr="00BC497C" w:rsidRDefault="00BC497C" w:rsidP="00BC497C">
      <w:pPr>
        <w:rPr>
          <w:b/>
          <w:i/>
          <w:color w:val="FF0000"/>
        </w:rPr>
      </w:pPr>
      <w:r w:rsidRPr="00BC497C">
        <w:rPr>
          <w:b/>
          <w:i/>
          <w:color w:val="FF0000"/>
        </w:rPr>
        <w:t xml:space="preserve">1. To meet the needs and expectations of local people by allocating high quality new open market and affordable homes on previously developed land within the planning boundary. </w:t>
      </w:r>
    </w:p>
    <w:p w:rsidR="00BC497C" w:rsidRPr="00BC497C" w:rsidRDefault="00BC497C" w:rsidP="00BC497C">
      <w:pPr>
        <w:rPr>
          <w:b/>
          <w:i/>
          <w:color w:val="FF0000"/>
        </w:rPr>
      </w:pPr>
      <w:r w:rsidRPr="00BC497C">
        <w:rPr>
          <w:b/>
          <w:i/>
          <w:color w:val="FF0000"/>
        </w:rPr>
        <w:t xml:space="preserve">2. In accordance with local and national policy, to provide for a range of housing mix, types and tenures in the most sustainable locations that are accessible to local services and facilities. </w:t>
      </w:r>
    </w:p>
    <w:p w:rsidR="00BC497C" w:rsidRPr="00BC497C" w:rsidRDefault="00BC497C" w:rsidP="00BC497C">
      <w:pPr>
        <w:rPr>
          <w:b/>
          <w:i/>
          <w:color w:val="FF0000"/>
        </w:rPr>
      </w:pPr>
      <w:r w:rsidRPr="00BC497C">
        <w:rPr>
          <w:b/>
          <w:i/>
          <w:color w:val="FF0000"/>
        </w:rPr>
        <w:t xml:space="preserve">3. To set out design specifications to ensure that new homes and developments complement and enhance the town’s built and natural heritage. </w:t>
      </w:r>
    </w:p>
    <w:p w:rsidR="00BC497C" w:rsidRPr="00BC497C" w:rsidRDefault="00BC497C" w:rsidP="00BC497C">
      <w:pPr>
        <w:autoSpaceDE w:val="0"/>
        <w:autoSpaceDN w:val="0"/>
        <w:adjustRightInd w:val="0"/>
        <w:spacing w:after="0" w:line="240" w:lineRule="auto"/>
        <w:rPr>
          <w:rFonts w:ascii="Century Gothic" w:hAnsi="Century Gothic" w:cs="Century Gothic"/>
          <w:color w:val="000000"/>
          <w:sz w:val="20"/>
          <w:szCs w:val="20"/>
        </w:rPr>
      </w:pPr>
    </w:p>
    <w:p w:rsidR="00BC497C" w:rsidRDefault="00BC497C" w:rsidP="002508E8"/>
    <w:p w:rsidR="00BC497C" w:rsidRDefault="00BC497C" w:rsidP="002508E8"/>
    <w:p w:rsidR="00142665" w:rsidRDefault="00CF742C" w:rsidP="002508E8">
      <w:r w:rsidRPr="002508E8">
        <w:t>To</w:t>
      </w:r>
      <w:r w:rsidR="00142665" w:rsidRPr="002508E8">
        <w:t xml:space="preserve"> inform </w:t>
      </w:r>
      <w:r w:rsidRPr="002508E8">
        <w:t xml:space="preserve">and shape </w:t>
      </w:r>
      <w:r w:rsidR="00142665" w:rsidRPr="002508E8">
        <w:t>these objectives, we undertook a SWOT analysis:</w:t>
      </w:r>
    </w:p>
    <w:p w:rsidR="00142665" w:rsidRDefault="00142665" w:rsidP="002508E8">
      <w:pPr>
        <w:rPr>
          <w:b/>
        </w:rPr>
      </w:pPr>
      <w:r w:rsidRPr="002508E8">
        <w:rPr>
          <w:b/>
        </w:rPr>
        <w:t>SWOT Analysis for Group</w:t>
      </w:r>
    </w:p>
    <w:tbl>
      <w:tblPr>
        <w:tblStyle w:val="TableGrid"/>
        <w:tblW w:w="0" w:type="auto"/>
        <w:tblLook w:val="04A0" w:firstRow="1" w:lastRow="0" w:firstColumn="1" w:lastColumn="0" w:noHBand="0" w:noVBand="1"/>
      </w:tblPr>
      <w:tblGrid>
        <w:gridCol w:w="4508"/>
        <w:gridCol w:w="4508"/>
      </w:tblGrid>
      <w:tr w:rsidR="00BC497C" w:rsidTr="00BC497C">
        <w:tc>
          <w:tcPr>
            <w:tcW w:w="4508" w:type="dxa"/>
          </w:tcPr>
          <w:p w:rsidR="00BC497C" w:rsidRDefault="00BC497C" w:rsidP="00BC497C">
            <w:pPr>
              <w:rPr>
                <w:b/>
              </w:rPr>
            </w:pPr>
            <w:r w:rsidRPr="002508E8">
              <w:rPr>
                <w:b/>
              </w:rPr>
              <w:t>Strengths:</w:t>
            </w:r>
            <w:r w:rsidR="00964ED8">
              <w:rPr>
                <w:b/>
              </w:rPr>
              <w:t xml:space="preserve"> Call for sites undertaken May 2017</w:t>
            </w: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2508E8">
            <w:pPr>
              <w:rPr>
                <w:b/>
              </w:rPr>
            </w:pPr>
          </w:p>
        </w:tc>
        <w:tc>
          <w:tcPr>
            <w:tcW w:w="4508" w:type="dxa"/>
          </w:tcPr>
          <w:p w:rsidR="00BC497C" w:rsidRPr="002508E8" w:rsidRDefault="00BC497C" w:rsidP="00BC497C">
            <w:pPr>
              <w:rPr>
                <w:b/>
              </w:rPr>
            </w:pPr>
            <w:r w:rsidRPr="002508E8">
              <w:rPr>
                <w:b/>
              </w:rPr>
              <w:t>Weaknesses:</w:t>
            </w:r>
            <w:r w:rsidR="00964ED8">
              <w:rPr>
                <w:b/>
              </w:rPr>
              <w:t xml:space="preserve"> Constraints on available sites in WW </w:t>
            </w:r>
          </w:p>
          <w:p w:rsidR="00BC497C" w:rsidRDefault="00BC497C" w:rsidP="002508E8">
            <w:pPr>
              <w:rPr>
                <w:b/>
              </w:rPr>
            </w:pPr>
          </w:p>
        </w:tc>
      </w:tr>
      <w:tr w:rsidR="00BC497C" w:rsidTr="00BC497C">
        <w:tc>
          <w:tcPr>
            <w:tcW w:w="4508" w:type="dxa"/>
          </w:tcPr>
          <w:p w:rsidR="00BC497C" w:rsidRDefault="00BC497C" w:rsidP="00BC497C">
            <w:pPr>
              <w:rPr>
                <w:b/>
              </w:rPr>
            </w:pPr>
            <w:r w:rsidRPr="002508E8">
              <w:rPr>
                <w:b/>
              </w:rPr>
              <w:t>Opportunities:</w:t>
            </w:r>
            <w:r w:rsidR="00964ED8">
              <w:rPr>
                <w:b/>
              </w:rPr>
              <w:t xml:space="preserve"> Identifying possible development opportunities to meet local needs</w:t>
            </w: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tc>
        <w:tc>
          <w:tcPr>
            <w:tcW w:w="4508" w:type="dxa"/>
          </w:tcPr>
          <w:p w:rsidR="00BC497C" w:rsidRDefault="00BC497C" w:rsidP="002508E8">
            <w:pPr>
              <w:rPr>
                <w:b/>
              </w:rPr>
            </w:pPr>
            <w:r>
              <w:rPr>
                <w:b/>
              </w:rPr>
              <w:t>Threats:</w:t>
            </w:r>
            <w:r w:rsidR="00964ED8">
              <w:rPr>
                <w:b/>
              </w:rPr>
              <w:t xml:space="preserve"> Not enough sites to meet need </w:t>
            </w:r>
          </w:p>
          <w:p w:rsidR="00BC497C" w:rsidRDefault="00BC497C" w:rsidP="002508E8">
            <w:pPr>
              <w:rPr>
                <w:b/>
              </w:rPr>
            </w:pPr>
          </w:p>
          <w:p w:rsidR="00BC497C" w:rsidRDefault="00BC497C" w:rsidP="002508E8">
            <w:pPr>
              <w:rPr>
                <w:b/>
              </w:rPr>
            </w:pPr>
          </w:p>
        </w:tc>
      </w:tr>
    </w:tbl>
    <w:p w:rsidR="00142665" w:rsidRDefault="00142665" w:rsidP="002508E8"/>
    <w:p w:rsidR="00905EF0" w:rsidRPr="002508E8" w:rsidRDefault="00905EF0" w:rsidP="002508E8">
      <w:pPr>
        <w:rPr>
          <w:b/>
        </w:rPr>
      </w:pPr>
      <w:r w:rsidRPr="002508E8">
        <w:rPr>
          <w:b/>
        </w:rPr>
        <w:t xml:space="preserve">Summary of issues and concerns (backed with evidence) </w:t>
      </w:r>
    </w:p>
    <w:p w:rsidR="002508E8" w:rsidRDefault="00142665" w:rsidP="002508E8">
      <w:r w:rsidRPr="002508E8">
        <w:t>Th</w:t>
      </w:r>
      <w:r w:rsidR="002508E8">
        <w:t xml:space="preserve">is section </w:t>
      </w:r>
      <w:r w:rsidRPr="002508E8">
        <w:t>sets ou</w:t>
      </w:r>
      <w:r w:rsidR="00CF742C" w:rsidRPr="002508E8">
        <w:t xml:space="preserve">t evidence against each of the above </w:t>
      </w:r>
      <w:r w:rsidRPr="002508E8">
        <w:t>objectives</w:t>
      </w:r>
      <w:r w:rsidR="002508E8">
        <w:t xml:space="preserve"> identified by the group to help achieve our overall aim.  As a Focus group, we fully recognise our role as identifying issues affecting the parish and suggesting/making </w:t>
      </w:r>
      <w:r w:rsidR="00992676" w:rsidRPr="002508E8">
        <w:t xml:space="preserve">recommendations </w:t>
      </w:r>
      <w:r w:rsidR="002508E8">
        <w:t xml:space="preserve">to be fully consulted with residents. </w:t>
      </w:r>
    </w:p>
    <w:p w:rsidR="002508E8" w:rsidRDefault="002508E8" w:rsidP="002508E8">
      <w:r>
        <w:t>To enable us achieve this, we</w:t>
      </w:r>
      <w:r w:rsidR="00992676" w:rsidRPr="002508E8">
        <w:t xml:space="preserve"> have undertaken a review of </w:t>
      </w:r>
      <w:r>
        <w:t xml:space="preserve">the </w:t>
      </w:r>
      <w:r w:rsidR="00992676" w:rsidRPr="002508E8">
        <w:t xml:space="preserve">key current policy framework </w:t>
      </w:r>
      <w:r>
        <w:t xml:space="preserve">within the </w:t>
      </w:r>
      <w:r w:rsidR="00992676" w:rsidRPr="002508E8">
        <w:t>National Planning Policy Framework</w:t>
      </w:r>
      <w:r>
        <w:t xml:space="preserve"> (NPPF), the existing Chichester Local Plan (CLP) and emerging (Review) of the Chichester Local Plan. </w:t>
      </w:r>
    </w:p>
    <w:p w:rsidR="00C137DB" w:rsidRDefault="00C137DB" w:rsidP="002508E8"/>
    <w:p w:rsidR="002508E8" w:rsidRDefault="00251A76" w:rsidP="002508E8">
      <w:r>
        <w:t>Examples below</w:t>
      </w: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Pr="002E29E4" w:rsidRDefault="00251A76" w:rsidP="00251A76">
      <w:pPr>
        <w:spacing w:after="150"/>
      </w:pPr>
    </w:p>
    <w:p w:rsidR="00531AFB" w:rsidRPr="002508E8" w:rsidRDefault="00531AFB" w:rsidP="002508E8">
      <w:r w:rsidRPr="002508E8">
        <w:t>:</w:t>
      </w: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Pr="00BE3262" w:rsidRDefault="00964ED8" w:rsidP="00BE3262">
      <w:r>
        <w:rPr>
          <w:b/>
        </w:rPr>
        <w:t xml:space="preserve">Objective </w:t>
      </w:r>
      <w:r w:rsidR="00BE3262" w:rsidRPr="00BE3262">
        <w:rPr>
          <w:b/>
        </w:rPr>
        <w:t xml:space="preserve"> In accordance with local and national policy, to provide for a range of housing mix, types and tenures in the most sustainable locations that are accessible to local services and facilities</w:t>
      </w:r>
      <w:r w:rsidR="00BE3262" w:rsidRPr="00BE3262">
        <w:t xml:space="preserve">. </w:t>
      </w:r>
    </w:p>
    <w:p w:rsidR="00BE3262" w:rsidRPr="00BE3262" w:rsidRDefault="00BE3262" w:rsidP="00BE3262">
      <w:r w:rsidRPr="00BE3262">
        <w:t xml:space="preserve">National Planning Policy Framework </w:t>
      </w:r>
    </w:p>
    <w:p w:rsidR="00BE3262" w:rsidRPr="00BE3262" w:rsidRDefault="00BE3262" w:rsidP="00BE3262">
      <w:r w:rsidRPr="00BE3262">
        <w:t xml:space="preserve">5.5.1 Two Core Planning Principles set out in Paragraph 17 on page 6 of the NPPF are to: “actively manage patterns of growth to make the fullest possible use of public transport, walking and cycling, and focus significant development in locations which are or can be made sustainable; and take account of and support local strategies to improve health, social and cultural wellbeing for all, and deliver sufficient community and cultural facilities and services to meet local needs.” </w:t>
      </w:r>
    </w:p>
    <w:p w:rsidR="00BE3262" w:rsidRDefault="00BE3262" w:rsidP="00BE3262"/>
    <w:p w:rsidR="00BE3262" w:rsidRPr="00BE3262" w:rsidRDefault="00BE3262" w:rsidP="00BE3262">
      <w:r w:rsidRPr="00BE3262">
        <w:t xml:space="preserve">Core Strategy </w:t>
      </w:r>
    </w:p>
    <w:p w:rsidR="00BE3262" w:rsidRPr="00BE3262" w:rsidRDefault="00BE3262" w:rsidP="00BE3262">
      <w:r w:rsidRPr="00BE3262">
        <w:t xml:space="preserve">5.5.2 Paragraph 3.2 on page 29 of the Core Strategy states that “Although growth options are limited, due to significant environmental constraints, there is still a need to ensure that new development is provided in the most sustainable locations.” </w:t>
      </w:r>
    </w:p>
    <w:p w:rsidR="00BE3262" w:rsidRPr="00BE3262" w:rsidRDefault="00BE3262" w:rsidP="00BE3262">
      <w:r w:rsidRPr="00BE3262">
        <w:t xml:space="preserve">5.5.3 In addition, Lewes Strategic Plan Core Policy 7 on page 108 has one key objective – “To work with other agencies to improve the accessibility to key community services and facilities and to provide the new and upgraded infrastructure that is required to create and support sustainable communities.” </w:t>
      </w:r>
    </w:p>
    <w:p w:rsidR="00251A76" w:rsidRPr="00BE3262" w:rsidRDefault="00BE3262" w:rsidP="00BE3262">
      <w:pPr>
        <w:rPr>
          <w:highlight w:val="yellow"/>
        </w:rPr>
      </w:pPr>
      <w:r w:rsidRPr="00BE3262">
        <w:t>5.5.4 Core Policy 7 continues on page 110 to say “The creation of sustainable communities in the district where residents enjoy a high quality of life will be achieved by: 4. Ensuring that land is only released for development where there is sufficient capacity in the existing local infrastructure to meet the additional requirements arising from the proposed development. Where development would create the need to provide additional or improved community facilities, services or infrastructure, a programme of delivery will be agreed with the relevant infrastructure providers to ensure that these improvements are provided at the time they are needed.”</w:t>
      </w:r>
    </w:p>
    <w:p w:rsidR="00BE3262" w:rsidRDefault="00BE3262" w:rsidP="00BE3262">
      <w:r w:rsidRPr="00BE3262">
        <w:rPr>
          <w:b/>
          <w:i/>
        </w:rPr>
        <w:t>Recommendation 4: That the existing policy framework relating to development in sustainable locations and creating and supporting sustainable communities continues to be given full weight and consideration as part of the planning process. Following stakeholder and public consultation the Focus Group will consider if further policy is needed in relation to this.</w:t>
      </w:r>
      <w:r w:rsidRPr="00BE3262">
        <w:t xml:space="preserve"> </w:t>
      </w:r>
    </w:p>
    <w:p w:rsidR="00BE3262" w:rsidRDefault="00BE3262" w:rsidP="00BE3262">
      <w:r w:rsidRPr="00BE3262">
        <w:t>In the Focus Group SWOT analysis one of the weaknesses identified was a lack of infrastructure</w:t>
      </w:r>
      <w:r>
        <w:t>,</w:t>
      </w:r>
      <w:r w:rsidRPr="00BE3262">
        <w:t xml:space="preserve"> particularly local amenity in the South East corner of the parish and uncertainty over future train services. Inadequate infrastructure was also highlighted in the Neighbourhood Plan Survey, which reported numerous comments from residents about existing infrastructure in </w:t>
      </w:r>
      <w:r>
        <w:t>the town</w:t>
      </w:r>
      <w:r w:rsidRPr="00BE3262">
        <w:t xml:space="preserve"> being unable to sustain further development. In particular comments were made about medical services, schooling, roads, parking, policing, shops and utilities. </w:t>
      </w:r>
    </w:p>
    <w:p w:rsidR="00BE3262" w:rsidRPr="00BE3262" w:rsidRDefault="00BE3262" w:rsidP="00BE3262">
      <w:pPr>
        <w:rPr>
          <w:i/>
        </w:rPr>
      </w:pPr>
      <w:r w:rsidRPr="00BE3262">
        <w:rPr>
          <w:i/>
        </w:rPr>
        <w:t xml:space="preserve">Add evidence from surveys, assessments, existing literature, workshops, open days etc. </w:t>
      </w:r>
    </w:p>
    <w:p w:rsidR="00BE3262" w:rsidRDefault="00BE3262" w:rsidP="00BE3262"/>
    <w:p w:rsidR="001B1DCA" w:rsidRPr="00BE3262" w:rsidRDefault="001B1DCA" w:rsidP="00BE3262">
      <w:pPr>
        <w:rPr>
          <w:b/>
        </w:rPr>
      </w:pPr>
      <w:r w:rsidRPr="00BE3262">
        <w:rPr>
          <w:b/>
        </w:rPr>
        <w:t>A</w:t>
      </w:r>
      <w:r w:rsidR="003B5EFB" w:rsidRPr="00BE3262">
        <w:rPr>
          <w:b/>
        </w:rPr>
        <w:t>nnex A</w:t>
      </w:r>
      <w:r w:rsidRPr="00BE3262">
        <w:rPr>
          <w:b/>
        </w:rPr>
        <w:t>:  List of Key Evidence Used (</w:t>
      </w:r>
      <w:r w:rsidR="00CE5AC0">
        <w:rPr>
          <w:b/>
        </w:rPr>
        <w:t>s</w:t>
      </w:r>
      <w:r w:rsidRPr="00BE3262">
        <w:rPr>
          <w:b/>
        </w:rPr>
        <w:t>urveys, workshops, public events, existing information, census, etc</w:t>
      </w:r>
      <w:r w:rsidR="002508E8" w:rsidRPr="00BE3262">
        <w:rPr>
          <w:b/>
        </w:rPr>
        <w:t>.</w:t>
      </w:r>
      <w:r w:rsidRPr="00BE3262">
        <w:rPr>
          <w:b/>
        </w:rPr>
        <w:t>)</w:t>
      </w:r>
    </w:p>
    <w:p w:rsidR="001B1DCA" w:rsidRPr="002508E8" w:rsidRDefault="001B1DCA" w:rsidP="002508E8"/>
    <w:p w:rsidR="002508E8" w:rsidRPr="002508E8" w:rsidRDefault="00964ED8" w:rsidP="002508E8">
      <w:r>
        <w:t>Call for sites and assessment of sites against criteria</w:t>
      </w:r>
    </w:p>
    <w:p w:rsidR="00733F1E" w:rsidRPr="002508E8" w:rsidRDefault="00733F1E" w:rsidP="002508E8"/>
    <w:p w:rsidR="001B1DCA" w:rsidRPr="002508E8" w:rsidRDefault="001B1DCA" w:rsidP="002508E8"/>
    <w:p w:rsidR="001B1DCA" w:rsidRPr="002508E8" w:rsidRDefault="001B1DCA" w:rsidP="002508E8">
      <w:r w:rsidRPr="002508E8">
        <w:br w:type="page"/>
      </w:r>
    </w:p>
    <w:p w:rsidR="00FA5EE3" w:rsidRPr="00BC497C" w:rsidRDefault="00FA5EE3" w:rsidP="002508E8">
      <w:pPr>
        <w:rPr>
          <w:b/>
        </w:rPr>
      </w:pPr>
      <w:r w:rsidRPr="00BC497C">
        <w:rPr>
          <w:b/>
        </w:rPr>
        <w:t xml:space="preserve">Annex B: List of stakeholders we approached </w:t>
      </w:r>
    </w:p>
    <w:p w:rsidR="00836AFB" w:rsidRPr="002508E8" w:rsidRDefault="00836AFB" w:rsidP="002508E8">
      <w:pPr>
        <w:rPr>
          <w:highlight w:val="yellow"/>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5"/>
      </w:tblGrid>
      <w:tr w:rsidR="00251A76" w:rsidRPr="002508E8" w:rsidTr="00251A76">
        <w:trPr>
          <w:trHeight w:hRule="exact" w:val="281"/>
        </w:trPr>
        <w:tc>
          <w:tcPr>
            <w:tcW w:w="8535" w:type="dxa"/>
          </w:tcPr>
          <w:p w:rsidR="00251A76" w:rsidRPr="002508E8" w:rsidRDefault="00251A76" w:rsidP="002508E8">
            <w:r w:rsidRPr="002508E8">
              <w:t>Who</w:t>
            </w:r>
          </w:p>
        </w:tc>
      </w:tr>
      <w:tr w:rsidR="00251A76" w:rsidRPr="002508E8" w:rsidTr="00251A76">
        <w:trPr>
          <w:trHeight w:hRule="exact" w:val="278"/>
        </w:trPr>
        <w:tc>
          <w:tcPr>
            <w:tcW w:w="8535" w:type="dxa"/>
          </w:tcPr>
          <w:p w:rsidR="00251A76" w:rsidRPr="002508E8" w:rsidRDefault="00964ED8" w:rsidP="002508E8">
            <w:r>
              <w:t>Call for sites sent to major stakeholders, web site,</w:t>
            </w:r>
            <w:bookmarkStart w:id="0" w:name="_GoBack"/>
            <w:bookmarkEnd w:id="0"/>
            <w:r>
              <w:t xml:space="preserve"> noticeboards</w:t>
            </w:r>
          </w:p>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9"/>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bl>
    <w:p w:rsidR="00FA1EF7" w:rsidRPr="002508E8" w:rsidRDefault="00FA1EF7" w:rsidP="002508E8"/>
    <w:p w:rsidR="000264CB" w:rsidRPr="002508E8" w:rsidRDefault="000264CB" w:rsidP="002508E8">
      <w:pPr>
        <w:spacing w:after="0" w:line="240" w:lineRule="auto"/>
        <w:rPr>
          <w:rFonts w:ascii="Century Gothic" w:hAnsi="Century Gothic"/>
        </w:rPr>
      </w:pPr>
    </w:p>
    <w:sectPr w:rsidR="000264CB" w:rsidRPr="002508E8" w:rsidSect="00017B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F1" w:rsidRDefault="008D6DF1" w:rsidP="00AB0A03">
      <w:pPr>
        <w:spacing w:after="0" w:line="240" w:lineRule="auto"/>
      </w:pPr>
      <w:r>
        <w:separator/>
      </w:r>
    </w:p>
  </w:endnote>
  <w:endnote w:type="continuationSeparator" w:id="0">
    <w:p w:rsidR="008D6DF1" w:rsidRDefault="008D6DF1" w:rsidP="00AB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378491"/>
      <w:docPartObj>
        <w:docPartGallery w:val="Page Numbers (Bottom of Page)"/>
        <w:docPartUnique/>
      </w:docPartObj>
    </w:sdtPr>
    <w:sdtEndPr>
      <w:rPr>
        <w:noProof/>
      </w:rPr>
    </w:sdtEndPr>
    <w:sdtContent>
      <w:p w:rsidR="00017BF2" w:rsidRDefault="001F06B9">
        <w:pPr>
          <w:pStyle w:val="Footer"/>
        </w:pPr>
        <w:r>
          <w:fldChar w:fldCharType="begin"/>
        </w:r>
        <w:r>
          <w:instrText xml:space="preserve"> PAGE   \* MERGEFORMAT </w:instrText>
        </w:r>
        <w:r>
          <w:fldChar w:fldCharType="separate"/>
        </w:r>
        <w:r w:rsidR="008D6DF1">
          <w:rPr>
            <w:noProof/>
          </w:rPr>
          <w:t>1</w:t>
        </w:r>
        <w:r>
          <w:rPr>
            <w:noProof/>
          </w:rPr>
          <w:fldChar w:fldCharType="end"/>
        </w:r>
      </w:p>
    </w:sdtContent>
  </w:sdt>
  <w:p w:rsidR="00017BF2" w:rsidRDefault="00017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F1" w:rsidRDefault="008D6DF1" w:rsidP="00AB0A03">
      <w:pPr>
        <w:spacing w:after="0" w:line="240" w:lineRule="auto"/>
      </w:pPr>
      <w:r>
        <w:separator/>
      </w:r>
    </w:p>
  </w:footnote>
  <w:footnote w:type="continuationSeparator" w:id="0">
    <w:p w:rsidR="008D6DF1" w:rsidRDefault="008D6DF1" w:rsidP="00AB0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F2" w:rsidRPr="002E45B2" w:rsidRDefault="00017BF2" w:rsidP="002E45B2">
    <w:pPr>
      <w:pStyle w:val="Header"/>
      <w:shd w:val="clear" w:color="auto" w:fill="FFFFFF" w:themeFill="background1"/>
      <w:rPr>
        <w:b/>
        <w:i/>
        <w:color w:val="808080" w:themeColor="background1" w:themeShade="8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1353"/>
    <w:multiLevelType w:val="hybridMultilevel"/>
    <w:tmpl w:val="1AB4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200B16"/>
    <w:multiLevelType w:val="hybridMultilevel"/>
    <w:tmpl w:val="E122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4F0A23"/>
    <w:multiLevelType w:val="hybridMultilevel"/>
    <w:tmpl w:val="05C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D226B"/>
    <w:multiLevelType w:val="hybridMultilevel"/>
    <w:tmpl w:val="2810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FF"/>
    <w:rsid w:val="00000B94"/>
    <w:rsid w:val="0000125D"/>
    <w:rsid w:val="00006562"/>
    <w:rsid w:val="00017274"/>
    <w:rsid w:val="00017BF2"/>
    <w:rsid w:val="000264CB"/>
    <w:rsid w:val="00031CDE"/>
    <w:rsid w:val="000368D0"/>
    <w:rsid w:val="00050F0D"/>
    <w:rsid w:val="00070D33"/>
    <w:rsid w:val="00072485"/>
    <w:rsid w:val="00074099"/>
    <w:rsid w:val="00087D68"/>
    <w:rsid w:val="000A2244"/>
    <w:rsid w:val="000B511C"/>
    <w:rsid w:val="000C5365"/>
    <w:rsid w:val="000D5BCE"/>
    <w:rsid w:val="000F6BDA"/>
    <w:rsid w:val="00100E67"/>
    <w:rsid w:val="00102CA8"/>
    <w:rsid w:val="00107FAC"/>
    <w:rsid w:val="00114741"/>
    <w:rsid w:val="00123171"/>
    <w:rsid w:val="001240FF"/>
    <w:rsid w:val="00131505"/>
    <w:rsid w:val="00137D2B"/>
    <w:rsid w:val="00142665"/>
    <w:rsid w:val="00145A7B"/>
    <w:rsid w:val="00157A0D"/>
    <w:rsid w:val="00164A1E"/>
    <w:rsid w:val="0016608C"/>
    <w:rsid w:val="0017742B"/>
    <w:rsid w:val="00193BF0"/>
    <w:rsid w:val="0019557A"/>
    <w:rsid w:val="00195FCC"/>
    <w:rsid w:val="001B1DCA"/>
    <w:rsid w:val="001C3667"/>
    <w:rsid w:val="001C4C9A"/>
    <w:rsid w:val="001E0649"/>
    <w:rsid w:val="001F06B9"/>
    <w:rsid w:val="00210E56"/>
    <w:rsid w:val="002164B6"/>
    <w:rsid w:val="002262A4"/>
    <w:rsid w:val="00230413"/>
    <w:rsid w:val="002508E8"/>
    <w:rsid w:val="00251A76"/>
    <w:rsid w:val="00270DC9"/>
    <w:rsid w:val="00275372"/>
    <w:rsid w:val="00284FD6"/>
    <w:rsid w:val="00290F05"/>
    <w:rsid w:val="00297572"/>
    <w:rsid w:val="002A39DE"/>
    <w:rsid w:val="002C30F8"/>
    <w:rsid w:val="002D18A8"/>
    <w:rsid w:val="002E29E4"/>
    <w:rsid w:val="002E435C"/>
    <w:rsid w:val="002E45B2"/>
    <w:rsid w:val="002E4F85"/>
    <w:rsid w:val="002F7958"/>
    <w:rsid w:val="00302965"/>
    <w:rsid w:val="003050B0"/>
    <w:rsid w:val="003161D5"/>
    <w:rsid w:val="003226DD"/>
    <w:rsid w:val="00322785"/>
    <w:rsid w:val="0035237D"/>
    <w:rsid w:val="003561E0"/>
    <w:rsid w:val="0036424E"/>
    <w:rsid w:val="0036731A"/>
    <w:rsid w:val="003713B2"/>
    <w:rsid w:val="00375633"/>
    <w:rsid w:val="00383833"/>
    <w:rsid w:val="00385FC0"/>
    <w:rsid w:val="003930C5"/>
    <w:rsid w:val="003933BF"/>
    <w:rsid w:val="00394A6A"/>
    <w:rsid w:val="003B1552"/>
    <w:rsid w:val="003B3C73"/>
    <w:rsid w:val="003B5A1C"/>
    <w:rsid w:val="003B5EFB"/>
    <w:rsid w:val="003C3399"/>
    <w:rsid w:val="003C4338"/>
    <w:rsid w:val="003D31DE"/>
    <w:rsid w:val="003D5E91"/>
    <w:rsid w:val="003F3D02"/>
    <w:rsid w:val="003F6140"/>
    <w:rsid w:val="004043B7"/>
    <w:rsid w:val="004050B5"/>
    <w:rsid w:val="00406E8D"/>
    <w:rsid w:val="0041383A"/>
    <w:rsid w:val="00417688"/>
    <w:rsid w:val="0042654C"/>
    <w:rsid w:val="004271AF"/>
    <w:rsid w:val="00437A69"/>
    <w:rsid w:val="00442318"/>
    <w:rsid w:val="00456A20"/>
    <w:rsid w:val="0046050C"/>
    <w:rsid w:val="00466BEE"/>
    <w:rsid w:val="00467BEE"/>
    <w:rsid w:val="00473548"/>
    <w:rsid w:val="00482E0A"/>
    <w:rsid w:val="00492CD2"/>
    <w:rsid w:val="004A08E5"/>
    <w:rsid w:val="004A2DD1"/>
    <w:rsid w:val="004A6F64"/>
    <w:rsid w:val="004A75B4"/>
    <w:rsid w:val="004D36DF"/>
    <w:rsid w:val="00525B60"/>
    <w:rsid w:val="00531AFB"/>
    <w:rsid w:val="00537600"/>
    <w:rsid w:val="005511F4"/>
    <w:rsid w:val="00561977"/>
    <w:rsid w:val="00563DD7"/>
    <w:rsid w:val="00573693"/>
    <w:rsid w:val="00573ABF"/>
    <w:rsid w:val="00576865"/>
    <w:rsid w:val="00581E13"/>
    <w:rsid w:val="00587FB8"/>
    <w:rsid w:val="005B7D4C"/>
    <w:rsid w:val="005C7DBA"/>
    <w:rsid w:val="005C7E92"/>
    <w:rsid w:val="005F4763"/>
    <w:rsid w:val="00606FFE"/>
    <w:rsid w:val="006221AB"/>
    <w:rsid w:val="006305B1"/>
    <w:rsid w:val="00630C10"/>
    <w:rsid w:val="00631DEE"/>
    <w:rsid w:val="00632C37"/>
    <w:rsid w:val="00637BEC"/>
    <w:rsid w:val="00641CC6"/>
    <w:rsid w:val="00643DDD"/>
    <w:rsid w:val="006536D1"/>
    <w:rsid w:val="00680CB2"/>
    <w:rsid w:val="0068299E"/>
    <w:rsid w:val="006927BE"/>
    <w:rsid w:val="006A46C8"/>
    <w:rsid w:val="006B1741"/>
    <w:rsid w:val="006C6CC2"/>
    <w:rsid w:val="006D4163"/>
    <w:rsid w:val="006E1A9A"/>
    <w:rsid w:val="006E5376"/>
    <w:rsid w:val="006E5E66"/>
    <w:rsid w:val="006F0FE9"/>
    <w:rsid w:val="007102BA"/>
    <w:rsid w:val="00710AFB"/>
    <w:rsid w:val="00733F1E"/>
    <w:rsid w:val="007502E2"/>
    <w:rsid w:val="00753E65"/>
    <w:rsid w:val="0077223F"/>
    <w:rsid w:val="00777936"/>
    <w:rsid w:val="007C1374"/>
    <w:rsid w:val="007C3455"/>
    <w:rsid w:val="007C494E"/>
    <w:rsid w:val="007C6C41"/>
    <w:rsid w:val="007C7B12"/>
    <w:rsid w:val="007D77FF"/>
    <w:rsid w:val="007D7996"/>
    <w:rsid w:val="007F2A66"/>
    <w:rsid w:val="0080120D"/>
    <w:rsid w:val="00815DA2"/>
    <w:rsid w:val="00816DA5"/>
    <w:rsid w:val="0082790C"/>
    <w:rsid w:val="00833C0A"/>
    <w:rsid w:val="00836AFB"/>
    <w:rsid w:val="0085796D"/>
    <w:rsid w:val="00857C0D"/>
    <w:rsid w:val="00875FF9"/>
    <w:rsid w:val="0087624E"/>
    <w:rsid w:val="008A1E84"/>
    <w:rsid w:val="008B71B2"/>
    <w:rsid w:val="008C0C52"/>
    <w:rsid w:val="008D6DF1"/>
    <w:rsid w:val="008F6BFD"/>
    <w:rsid w:val="00905EF0"/>
    <w:rsid w:val="00914690"/>
    <w:rsid w:val="009147AE"/>
    <w:rsid w:val="00920E43"/>
    <w:rsid w:val="00921D26"/>
    <w:rsid w:val="00930DB4"/>
    <w:rsid w:val="009503CB"/>
    <w:rsid w:val="00964ED8"/>
    <w:rsid w:val="009752DE"/>
    <w:rsid w:val="009767A5"/>
    <w:rsid w:val="009864C5"/>
    <w:rsid w:val="00992676"/>
    <w:rsid w:val="00996470"/>
    <w:rsid w:val="009A0511"/>
    <w:rsid w:val="009A5555"/>
    <w:rsid w:val="009B2F5A"/>
    <w:rsid w:val="009D05E3"/>
    <w:rsid w:val="009D61A2"/>
    <w:rsid w:val="009F1FBA"/>
    <w:rsid w:val="009F5431"/>
    <w:rsid w:val="00A0674D"/>
    <w:rsid w:val="00A17F48"/>
    <w:rsid w:val="00A21748"/>
    <w:rsid w:val="00A31EDE"/>
    <w:rsid w:val="00A42813"/>
    <w:rsid w:val="00A4427B"/>
    <w:rsid w:val="00A71C70"/>
    <w:rsid w:val="00A76991"/>
    <w:rsid w:val="00A87725"/>
    <w:rsid w:val="00AA494E"/>
    <w:rsid w:val="00AB0A03"/>
    <w:rsid w:val="00AB3277"/>
    <w:rsid w:val="00AB467A"/>
    <w:rsid w:val="00AE7641"/>
    <w:rsid w:val="00AF2F91"/>
    <w:rsid w:val="00B03903"/>
    <w:rsid w:val="00B071C4"/>
    <w:rsid w:val="00B12532"/>
    <w:rsid w:val="00B205EC"/>
    <w:rsid w:val="00B22CD4"/>
    <w:rsid w:val="00B26E1F"/>
    <w:rsid w:val="00B35FC7"/>
    <w:rsid w:val="00B4471E"/>
    <w:rsid w:val="00B563ED"/>
    <w:rsid w:val="00B60827"/>
    <w:rsid w:val="00B7300B"/>
    <w:rsid w:val="00B824C7"/>
    <w:rsid w:val="00BA6509"/>
    <w:rsid w:val="00BB2080"/>
    <w:rsid w:val="00BB5B13"/>
    <w:rsid w:val="00BC3EBD"/>
    <w:rsid w:val="00BC497C"/>
    <w:rsid w:val="00BC774A"/>
    <w:rsid w:val="00BD32C8"/>
    <w:rsid w:val="00BD57FE"/>
    <w:rsid w:val="00BE10D5"/>
    <w:rsid w:val="00BE3262"/>
    <w:rsid w:val="00BF067C"/>
    <w:rsid w:val="00C137DB"/>
    <w:rsid w:val="00C164F7"/>
    <w:rsid w:val="00C16903"/>
    <w:rsid w:val="00C305D9"/>
    <w:rsid w:val="00C54186"/>
    <w:rsid w:val="00C56289"/>
    <w:rsid w:val="00C628BA"/>
    <w:rsid w:val="00C70988"/>
    <w:rsid w:val="00C8335E"/>
    <w:rsid w:val="00C94EDA"/>
    <w:rsid w:val="00C97FDA"/>
    <w:rsid w:val="00CA055A"/>
    <w:rsid w:val="00CC1FB7"/>
    <w:rsid w:val="00CD15EB"/>
    <w:rsid w:val="00CE59D3"/>
    <w:rsid w:val="00CE5AC0"/>
    <w:rsid w:val="00CF742C"/>
    <w:rsid w:val="00D00806"/>
    <w:rsid w:val="00D049F5"/>
    <w:rsid w:val="00D10FF6"/>
    <w:rsid w:val="00D21605"/>
    <w:rsid w:val="00D30AFD"/>
    <w:rsid w:val="00D42AE1"/>
    <w:rsid w:val="00D654D9"/>
    <w:rsid w:val="00D85696"/>
    <w:rsid w:val="00D86E91"/>
    <w:rsid w:val="00D93969"/>
    <w:rsid w:val="00D950FD"/>
    <w:rsid w:val="00DA36D6"/>
    <w:rsid w:val="00DB3CA6"/>
    <w:rsid w:val="00DB512F"/>
    <w:rsid w:val="00DC0124"/>
    <w:rsid w:val="00DC148D"/>
    <w:rsid w:val="00DD3AB2"/>
    <w:rsid w:val="00DF5621"/>
    <w:rsid w:val="00E05FA7"/>
    <w:rsid w:val="00E06518"/>
    <w:rsid w:val="00E100B6"/>
    <w:rsid w:val="00E135E9"/>
    <w:rsid w:val="00E142EF"/>
    <w:rsid w:val="00E25FF1"/>
    <w:rsid w:val="00E34992"/>
    <w:rsid w:val="00E4545F"/>
    <w:rsid w:val="00E457CC"/>
    <w:rsid w:val="00E5233C"/>
    <w:rsid w:val="00E715A5"/>
    <w:rsid w:val="00EE4081"/>
    <w:rsid w:val="00EE7B74"/>
    <w:rsid w:val="00EF6104"/>
    <w:rsid w:val="00F11F4E"/>
    <w:rsid w:val="00F15A67"/>
    <w:rsid w:val="00F22EE7"/>
    <w:rsid w:val="00F2419C"/>
    <w:rsid w:val="00F2526E"/>
    <w:rsid w:val="00F310B3"/>
    <w:rsid w:val="00F3149A"/>
    <w:rsid w:val="00F4587D"/>
    <w:rsid w:val="00F55D86"/>
    <w:rsid w:val="00FA1941"/>
    <w:rsid w:val="00FA1EF7"/>
    <w:rsid w:val="00FA5EE3"/>
    <w:rsid w:val="00FC0121"/>
    <w:rsid w:val="00FF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EDE"/>
  </w:style>
  <w:style w:type="paragraph" w:styleId="Heading1">
    <w:name w:val="heading 1"/>
    <w:basedOn w:val="Normal"/>
    <w:next w:val="Normal"/>
    <w:link w:val="Heading1Char"/>
    <w:uiPriority w:val="9"/>
    <w:qFormat/>
    <w:rsid w:val="00FA5E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6927BE"/>
    <w:pPr>
      <w:widowControl w:val="0"/>
      <w:spacing w:after="0" w:line="240" w:lineRule="auto"/>
      <w:ind w:left="140"/>
      <w:outlineLvl w:val="1"/>
    </w:pPr>
    <w:rPr>
      <w:rFonts w:ascii="Century Gothic" w:eastAsia="Century Gothic" w:hAnsi="Century Gothic" w:cs="Century Gothic"/>
      <w:b/>
      <w:bCs/>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4A"/>
    <w:rPr>
      <w:rFonts w:ascii="Tahoma" w:hAnsi="Tahoma" w:cs="Tahoma"/>
      <w:sz w:val="16"/>
      <w:szCs w:val="16"/>
    </w:rPr>
  </w:style>
  <w:style w:type="paragraph" w:styleId="ListParagraph">
    <w:name w:val="List Paragraph"/>
    <w:basedOn w:val="Normal"/>
    <w:uiPriority w:val="34"/>
    <w:qFormat/>
    <w:rsid w:val="00AB0A03"/>
    <w:pPr>
      <w:ind w:left="720"/>
      <w:contextualSpacing/>
    </w:pPr>
  </w:style>
  <w:style w:type="paragraph" w:styleId="Header">
    <w:name w:val="header"/>
    <w:basedOn w:val="Normal"/>
    <w:link w:val="HeaderChar"/>
    <w:uiPriority w:val="99"/>
    <w:unhideWhenUsed/>
    <w:rsid w:val="00AB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A03"/>
  </w:style>
  <w:style w:type="paragraph" w:styleId="Footer">
    <w:name w:val="footer"/>
    <w:basedOn w:val="Normal"/>
    <w:link w:val="FooterChar"/>
    <w:uiPriority w:val="99"/>
    <w:unhideWhenUsed/>
    <w:rsid w:val="00AB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A03"/>
  </w:style>
  <w:style w:type="paragraph" w:styleId="NoSpacing">
    <w:name w:val="No Spacing"/>
    <w:qFormat/>
    <w:rsid w:val="00DB512F"/>
    <w:pPr>
      <w:spacing w:after="0" w:line="240" w:lineRule="auto"/>
    </w:pPr>
    <w:rPr>
      <w:rFonts w:ascii="Century Gothic" w:eastAsia="Century Gothic" w:hAnsi="Century Gothic" w:cs="Century Gothic"/>
    </w:rPr>
  </w:style>
  <w:style w:type="paragraph" w:styleId="FootnoteText">
    <w:name w:val="footnote text"/>
    <w:basedOn w:val="Normal"/>
    <w:link w:val="FootnoteTextChar"/>
    <w:uiPriority w:val="99"/>
    <w:semiHidden/>
    <w:unhideWhenUsed/>
    <w:rsid w:val="00A4427B"/>
    <w:pPr>
      <w:spacing w:after="0" w:line="240" w:lineRule="auto"/>
    </w:pPr>
    <w:rPr>
      <w:rFonts w:ascii="Garamond" w:eastAsia="SimSun" w:hAnsi="Garamond" w:cs="Times New Roman"/>
      <w:sz w:val="20"/>
      <w:szCs w:val="20"/>
    </w:rPr>
  </w:style>
  <w:style w:type="character" w:customStyle="1" w:styleId="FootnoteTextChar">
    <w:name w:val="Footnote Text Char"/>
    <w:basedOn w:val="DefaultParagraphFont"/>
    <w:link w:val="FootnoteText"/>
    <w:uiPriority w:val="99"/>
    <w:semiHidden/>
    <w:rsid w:val="00A4427B"/>
    <w:rPr>
      <w:rFonts w:ascii="Garamond" w:eastAsia="SimSun" w:hAnsi="Garamond" w:cs="Times New Roman"/>
      <w:sz w:val="20"/>
      <w:szCs w:val="20"/>
    </w:rPr>
  </w:style>
  <w:style w:type="character" w:styleId="FootnoteReference">
    <w:name w:val="footnote reference"/>
    <w:uiPriority w:val="99"/>
    <w:semiHidden/>
    <w:unhideWhenUsed/>
    <w:rsid w:val="00A4427B"/>
    <w:rPr>
      <w:vertAlign w:val="superscript"/>
    </w:rPr>
  </w:style>
  <w:style w:type="table" w:styleId="TableGrid">
    <w:name w:val="Table Grid"/>
    <w:basedOn w:val="TableNormal"/>
    <w:uiPriority w:val="59"/>
    <w:rsid w:val="0014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AFB"/>
    <w:rPr>
      <w:color w:val="0000FF" w:themeColor="hyperlink"/>
      <w:u w:val="single"/>
    </w:rPr>
  </w:style>
  <w:style w:type="paragraph" w:customStyle="1" w:styleId="Default">
    <w:name w:val="Default"/>
    <w:rsid w:val="00070D33"/>
    <w:pPr>
      <w:autoSpaceDE w:val="0"/>
      <w:autoSpaceDN w:val="0"/>
      <w:adjustRightInd w:val="0"/>
      <w:spacing w:after="0" w:line="240" w:lineRule="auto"/>
    </w:pPr>
    <w:rPr>
      <w:rFonts w:ascii="Calibri" w:hAnsi="Calibri" w:cs="Calibri"/>
      <w:color w:val="000000"/>
      <w:sz w:val="24"/>
      <w:szCs w:val="24"/>
    </w:rPr>
  </w:style>
  <w:style w:type="paragraph" w:customStyle="1" w:styleId="msolistparagraph0">
    <w:name w:val="msolistparagraph"/>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paragraph" w:customStyle="1" w:styleId="msolistparagraphcxspmiddle">
    <w:name w:val="msolistparagraphcxspmiddle"/>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character" w:styleId="EndnoteReference">
    <w:name w:val="endnote reference"/>
    <w:uiPriority w:val="99"/>
    <w:semiHidden/>
    <w:unhideWhenUsed/>
    <w:rsid w:val="00F11F4E"/>
    <w:rPr>
      <w:vertAlign w:val="superscript"/>
    </w:rPr>
  </w:style>
  <w:style w:type="character" w:styleId="CommentReference">
    <w:name w:val="annotation reference"/>
    <w:basedOn w:val="DefaultParagraphFont"/>
    <w:uiPriority w:val="99"/>
    <w:semiHidden/>
    <w:unhideWhenUsed/>
    <w:rsid w:val="005B7D4C"/>
    <w:rPr>
      <w:sz w:val="16"/>
      <w:szCs w:val="16"/>
    </w:rPr>
  </w:style>
  <w:style w:type="paragraph" w:styleId="CommentText">
    <w:name w:val="annotation text"/>
    <w:basedOn w:val="Normal"/>
    <w:link w:val="CommentTextChar"/>
    <w:uiPriority w:val="99"/>
    <w:semiHidden/>
    <w:unhideWhenUsed/>
    <w:rsid w:val="005B7D4C"/>
    <w:pPr>
      <w:spacing w:line="240" w:lineRule="auto"/>
    </w:pPr>
    <w:rPr>
      <w:sz w:val="20"/>
      <w:szCs w:val="20"/>
    </w:rPr>
  </w:style>
  <w:style w:type="character" w:customStyle="1" w:styleId="CommentTextChar">
    <w:name w:val="Comment Text Char"/>
    <w:basedOn w:val="DefaultParagraphFont"/>
    <w:link w:val="CommentText"/>
    <w:uiPriority w:val="99"/>
    <w:semiHidden/>
    <w:rsid w:val="005B7D4C"/>
    <w:rPr>
      <w:sz w:val="20"/>
      <w:szCs w:val="20"/>
    </w:rPr>
  </w:style>
  <w:style w:type="paragraph" w:styleId="CommentSubject">
    <w:name w:val="annotation subject"/>
    <w:basedOn w:val="CommentText"/>
    <w:next w:val="CommentText"/>
    <w:link w:val="CommentSubjectChar"/>
    <w:uiPriority w:val="99"/>
    <w:semiHidden/>
    <w:unhideWhenUsed/>
    <w:rsid w:val="005B7D4C"/>
    <w:rPr>
      <w:b/>
      <w:bCs/>
    </w:rPr>
  </w:style>
  <w:style w:type="character" w:customStyle="1" w:styleId="CommentSubjectChar">
    <w:name w:val="Comment Subject Char"/>
    <w:basedOn w:val="CommentTextChar"/>
    <w:link w:val="CommentSubject"/>
    <w:uiPriority w:val="99"/>
    <w:semiHidden/>
    <w:rsid w:val="005B7D4C"/>
    <w:rPr>
      <w:b/>
      <w:bCs/>
      <w:sz w:val="20"/>
      <w:szCs w:val="20"/>
    </w:rPr>
  </w:style>
  <w:style w:type="paragraph" w:styleId="NormalWeb">
    <w:name w:val="Normal (Web)"/>
    <w:basedOn w:val="Normal"/>
    <w:uiPriority w:val="99"/>
    <w:semiHidden/>
    <w:unhideWhenUsed/>
    <w:rsid w:val="00D10FF6"/>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85FC0"/>
    <w:pPr>
      <w:widowControl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385FC0"/>
    <w:rPr>
      <w:rFonts w:ascii="Century Gothic" w:eastAsia="Century Gothic" w:hAnsi="Century Gothic" w:cs="Century Gothic"/>
      <w:lang w:val="en-US"/>
    </w:rPr>
  </w:style>
  <w:style w:type="character" w:customStyle="1" w:styleId="Heading2Char">
    <w:name w:val="Heading 2 Char"/>
    <w:basedOn w:val="DefaultParagraphFont"/>
    <w:link w:val="Heading2"/>
    <w:uiPriority w:val="1"/>
    <w:rsid w:val="006927BE"/>
    <w:rPr>
      <w:rFonts w:ascii="Century Gothic" w:eastAsia="Century Gothic" w:hAnsi="Century Gothic" w:cs="Century Gothic"/>
      <w:b/>
      <w:bCs/>
      <w:i/>
      <w:lang w:val="en-US"/>
    </w:rPr>
  </w:style>
  <w:style w:type="character" w:customStyle="1" w:styleId="Heading1Char">
    <w:name w:val="Heading 1 Char"/>
    <w:basedOn w:val="DefaultParagraphFont"/>
    <w:link w:val="Heading1"/>
    <w:uiPriority w:val="9"/>
    <w:rsid w:val="00FA5EE3"/>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050F0D"/>
    <w:pPr>
      <w:widowControl w:val="0"/>
      <w:spacing w:before="2" w:after="0" w:line="240" w:lineRule="auto"/>
      <w:ind w:left="103"/>
    </w:pPr>
    <w:rPr>
      <w:rFonts w:ascii="Century Gothic" w:eastAsia="Century Gothic" w:hAnsi="Century Gothic" w:cs="Century Gothic"/>
      <w:lang w:val="en-US"/>
    </w:rPr>
  </w:style>
  <w:style w:type="paragraph" w:styleId="Revision">
    <w:name w:val="Revision"/>
    <w:hidden/>
    <w:uiPriority w:val="99"/>
    <w:semiHidden/>
    <w:rsid w:val="000F6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7226">
      <w:bodyDiv w:val="1"/>
      <w:marLeft w:val="0"/>
      <w:marRight w:val="0"/>
      <w:marTop w:val="0"/>
      <w:marBottom w:val="0"/>
      <w:divBdr>
        <w:top w:val="none" w:sz="0" w:space="0" w:color="auto"/>
        <w:left w:val="none" w:sz="0" w:space="0" w:color="auto"/>
        <w:bottom w:val="none" w:sz="0" w:space="0" w:color="auto"/>
        <w:right w:val="none" w:sz="0" w:space="0" w:color="auto"/>
      </w:divBdr>
    </w:div>
    <w:div w:id="227497802">
      <w:bodyDiv w:val="1"/>
      <w:marLeft w:val="0"/>
      <w:marRight w:val="0"/>
      <w:marTop w:val="0"/>
      <w:marBottom w:val="0"/>
      <w:divBdr>
        <w:top w:val="none" w:sz="0" w:space="0" w:color="auto"/>
        <w:left w:val="none" w:sz="0" w:space="0" w:color="auto"/>
        <w:bottom w:val="none" w:sz="0" w:space="0" w:color="auto"/>
        <w:right w:val="none" w:sz="0" w:space="0" w:color="auto"/>
      </w:divBdr>
    </w:div>
    <w:div w:id="338436340">
      <w:bodyDiv w:val="1"/>
      <w:marLeft w:val="0"/>
      <w:marRight w:val="0"/>
      <w:marTop w:val="0"/>
      <w:marBottom w:val="0"/>
      <w:divBdr>
        <w:top w:val="none" w:sz="0" w:space="0" w:color="auto"/>
        <w:left w:val="none" w:sz="0" w:space="0" w:color="auto"/>
        <w:bottom w:val="none" w:sz="0" w:space="0" w:color="auto"/>
        <w:right w:val="none" w:sz="0" w:space="0" w:color="auto"/>
      </w:divBdr>
    </w:div>
    <w:div w:id="497381205">
      <w:bodyDiv w:val="1"/>
      <w:marLeft w:val="0"/>
      <w:marRight w:val="0"/>
      <w:marTop w:val="0"/>
      <w:marBottom w:val="0"/>
      <w:divBdr>
        <w:top w:val="none" w:sz="0" w:space="0" w:color="auto"/>
        <w:left w:val="none" w:sz="0" w:space="0" w:color="auto"/>
        <w:bottom w:val="none" w:sz="0" w:space="0" w:color="auto"/>
        <w:right w:val="none" w:sz="0" w:space="0" w:color="auto"/>
      </w:divBdr>
    </w:div>
    <w:div w:id="643312850">
      <w:bodyDiv w:val="1"/>
      <w:marLeft w:val="0"/>
      <w:marRight w:val="0"/>
      <w:marTop w:val="0"/>
      <w:marBottom w:val="0"/>
      <w:divBdr>
        <w:top w:val="none" w:sz="0" w:space="0" w:color="auto"/>
        <w:left w:val="none" w:sz="0" w:space="0" w:color="auto"/>
        <w:bottom w:val="none" w:sz="0" w:space="0" w:color="auto"/>
        <w:right w:val="none" w:sz="0" w:space="0" w:color="auto"/>
      </w:divBdr>
    </w:div>
    <w:div w:id="674574714">
      <w:bodyDiv w:val="1"/>
      <w:marLeft w:val="0"/>
      <w:marRight w:val="0"/>
      <w:marTop w:val="0"/>
      <w:marBottom w:val="0"/>
      <w:divBdr>
        <w:top w:val="none" w:sz="0" w:space="0" w:color="auto"/>
        <w:left w:val="none" w:sz="0" w:space="0" w:color="auto"/>
        <w:bottom w:val="none" w:sz="0" w:space="0" w:color="auto"/>
        <w:right w:val="none" w:sz="0" w:space="0" w:color="auto"/>
      </w:divBdr>
    </w:div>
    <w:div w:id="736365840">
      <w:bodyDiv w:val="1"/>
      <w:marLeft w:val="0"/>
      <w:marRight w:val="0"/>
      <w:marTop w:val="0"/>
      <w:marBottom w:val="0"/>
      <w:divBdr>
        <w:top w:val="none" w:sz="0" w:space="0" w:color="auto"/>
        <w:left w:val="none" w:sz="0" w:space="0" w:color="auto"/>
        <w:bottom w:val="none" w:sz="0" w:space="0" w:color="auto"/>
        <w:right w:val="none" w:sz="0" w:space="0" w:color="auto"/>
      </w:divBdr>
    </w:div>
    <w:div w:id="805196288">
      <w:bodyDiv w:val="1"/>
      <w:marLeft w:val="0"/>
      <w:marRight w:val="0"/>
      <w:marTop w:val="0"/>
      <w:marBottom w:val="0"/>
      <w:divBdr>
        <w:top w:val="none" w:sz="0" w:space="0" w:color="auto"/>
        <w:left w:val="none" w:sz="0" w:space="0" w:color="auto"/>
        <w:bottom w:val="none" w:sz="0" w:space="0" w:color="auto"/>
        <w:right w:val="none" w:sz="0" w:space="0" w:color="auto"/>
      </w:divBdr>
    </w:div>
    <w:div w:id="857348362">
      <w:bodyDiv w:val="1"/>
      <w:marLeft w:val="0"/>
      <w:marRight w:val="0"/>
      <w:marTop w:val="0"/>
      <w:marBottom w:val="0"/>
      <w:divBdr>
        <w:top w:val="none" w:sz="0" w:space="0" w:color="auto"/>
        <w:left w:val="none" w:sz="0" w:space="0" w:color="auto"/>
        <w:bottom w:val="none" w:sz="0" w:space="0" w:color="auto"/>
        <w:right w:val="none" w:sz="0" w:space="0" w:color="auto"/>
      </w:divBdr>
    </w:div>
    <w:div w:id="906453331">
      <w:bodyDiv w:val="1"/>
      <w:marLeft w:val="0"/>
      <w:marRight w:val="0"/>
      <w:marTop w:val="0"/>
      <w:marBottom w:val="0"/>
      <w:divBdr>
        <w:top w:val="none" w:sz="0" w:space="0" w:color="auto"/>
        <w:left w:val="none" w:sz="0" w:space="0" w:color="auto"/>
        <w:bottom w:val="none" w:sz="0" w:space="0" w:color="auto"/>
        <w:right w:val="none" w:sz="0" w:space="0" w:color="auto"/>
      </w:divBdr>
    </w:div>
    <w:div w:id="954752558">
      <w:bodyDiv w:val="1"/>
      <w:marLeft w:val="0"/>
      <w:marRight w:val="0"/>
      <w:marTop w:val="0"/>
      <w:marBottom w:val="0"/>
      <w:divBdr>
        <w:top w:val="none" w:sz="0" w:space="0" w:color="auto"/>
        <w:left w:val="none" w:sz="0" w:space="0" w:color="auto"/>
        <w:bottom w:val="none" w:sz="0" w:space="0" w:color="auto"/>
        <w:right w:val="none" w:sz="0" w:space="0" w:color="auto"/>
      </w:divBdr>
    </w:div>
    <w:div w:id="1143817435">
      <w:bodyDiv w:val="1"/>
      <w:marLeft w:val="0"/>
      <w:marRight w:val="0"/>
      <w:marTop w:val="0"/>
      <w:marBottom w:val="0"/>
      <w:divBdr>
        <w:top w:val="none" w:sz="0" w:space="0" w:color="auto"/>
        <w:left w:val="none" w:sz="0" w:space="0" w:color="auto"/>
        <w:bottom w:val="none" w:sz="0" w:space="0" w:color="auto"/>
        <w:right w:val="none" w:sz="0" w:space="0" w:color="auto"/>
      </w:divBdr>
    </w:div>
    <w:div w:id="1222475028">
      <w:bodyDiv w:val="1"/>
      <w:marLeft w:val="0"/>
      <w:marRight w:val="0"/>
      <w:marTop w:val="0"/>
      <w:marBottom w:val="0"/>
      <w:divBdr>
        <w:top w:val="none" w:sz="0" w:space="0" w:color="auto"/>
        <w:left w:val="none" w:sz="0" w:space="0" w:color="auto"/>
        <w:bottom w:val="none" w:sz="0" w:space="0" w:color="auto"/>
        <w:right w:val="none" w:sz="0" w:space="0" w:color="auto"/>
      </w:divBdr>
    </w:div>
    <w:div w:id="1244024102">
      <w:bodyDiv w:val="1"/>
      <w:marLeft w:val="0"/>
      <w:marRight w:val="0"/>
      <w:marTop w:val="0"/>
      <w:marBottom w:val="0"/>
      <w:divBdr>
        <w:top w:val="none" w:sz="0" w:space="0" w:color="auto"/>
        <w:left w:val="none" w:sz="0" w:space="0" w:color="auto"/>
        <w:bottom w:val="none" w:sz="0" w:space="0" w:color="auto"/>
        <w:right w:val="none" w:sz="0" w:space="0" w:color="auto"/>
      </w:divBdr>
    </w:div>
    <w:div w:id="1461267003">
      <w:bodyDiv w:val="1"/>
      <w:marLeft w:val="0"/>
      <w:marRight w:val="0"/>
      <w:marTop w:val="0"/>
      <w:marBottom w:val="0"/>
      <w:divBdr>
        <w:top w:val="none" w:sz="0" w:space="0" w:color="auto"/>
        <w:left w:val="none" w:sz="0" w:space="0" w:color="auto"/>
        <w:bottom w:val="none" w:sz="0" w:space="0" w:color="auto"/>
        <w:right w:val="none" w:sz="0" w:space="0" w:color="auto"/>
      </w:divBdr>
    </w:div>
    <w:div w:id="2000888028">
      <w:bodyDiv w:val="1"/>
      <w:marLeft w:val="0"/>
      <w:marRight w:val="0"/>
      <w:marTop w:val="0"/>
      <w:marBottom w:val="0"/>
      <w:divBdr>
        <w:top w:val="none" w:sz="0" w:space="0" w:color="auto"/>
        <w:left w:val="none" w:sz="0" w:space="0" w:color="auto"/>
        <w:bottom w:val="none" w:sz="0" w:space="0" w:color="auto"/>
        <w:right w:val="none" w:sz="0" w:space="0" w:color="auto"/>
      </w:divBdr>
    </w:div>
    <w:div w:id="2002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E63E-5375-4CF4-B9C4-A5135AE9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2018-02-14T13:36:00Z</dcterms:created>
  <dcterms:modified xsi:type="dcterms:W3CDTF">2018-02-14T13:36:00Z</dcterms:modified>
</cp:coreProperties>
</file>