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77" w:rsidRDefault="00FB7377" w:rsidP="00FB7377">
      <w:pPr>
        <w:pStyle w:val="Logos"/>
        <w:tabs>
          <w:tab w:val="right" w:pos="9498"/>
        </w:tabs>
      </w:pPr>
      <w:bookmarkStart w:id="0" w:name="_GoBack"/>
      <w:bookmarkEnd w:id="0"/>
      <w:r>
        <w:drawing>
          <wp:inline distT="0" distB="0" distL="0" distR="0">
            <wp:extent cx="1340485" cy="1080770"/>
            <wp:effectExtent l="0" t="0" r="0" b="0"/>
            <wp:docPr id="22" name="Picture 22" descr="Department for Education"/>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rsidR="00AC61A6" w:rsidRPr="005F7E80" w:rsidRDefault="00A11BA9" w:rsidP="00FB7377">
      <w:pPr>
        <w:pStyle w:val="TitleText"/>
      </w:pPr>
      <w:r w:rsidRPr="00786F38">
        <w:t>The Prevent duty</w:t>
      </w:r>
    </w:p>
    <w:p w:rsidR="00A11BA9" w:rsidRDefault="00086930" w:rsidP="00A11BA9">
      <w:pPr>
        <w:pStyle w:val="SubtitleText"/>
      </w:pPr>
      <w:r w:rsidRPr="0074597F">
        <w:t>Departmental</w:t>
      </w:r>
      <w:r w:rsidR="00A96F26" w:rsidRPr="0074597F">
        <w:t xml:space="preserve"> advice </w:t>
      </w:r>
      <w:r w:rsidR="00A11BA9">
        <w:t xml:space="preserve">for </w:t>
      </w:r>
      <w:r w:rsidR="00A11BA9" w:rsidRPr="00786F38">
        <w:t>schools and childcare providers</w:t>
      </w:r>
    </w:p>
    <w:p w:rsidR="0030621B" w:rsidRPr="00681EAE" w:rsidRDefault="00A11BA9" w:rsidP="00A11BA9">
      <w:pPr>
        <w:pStyle w:val="SubtitleText"/>
      </w:pPr>
      <w:r>
        <w:t>June 2015</w:t>
      </w:r>
    </w:p>
    <w:p w:rsidR="009111B2" w:rsidRDefault="009111B2" w:rsidP="00CD6F4A">
      <w:pPr>
        <w:rPr>
          <w:noProof/>
        </w:rPr>
      </w:pPr>
      <w:bookmarkStart w:id="1" w:name="_Toc338167828"/>
      <w:bookmarkStart w:id="2" w:name="_Toc364235706"/>
      <w:bookmarkStart w:id="3" w:name="_Toc364235750"/>
      <w:bookmarkStart w:id="4" w:name="_Toc336504577"/>
      <w:bookmarkStart w:id="5" w:name="_Toc328122777"/>
      <w:r>
        <w:br w:type="page"/>
      </w:r>
    </w:p>
    <w:p w:rsidR="009111B2" w:rsidRDefault="009111B2" w:rsidP="009111B2">
      <w:pPr>
        <w:pStyle w:val="TOCHeader"/>
      </w:pPr>
      <w:r>
        <w:lastRenderedPageBreak/>
        <w:t>Contents</w:t>
      </w:r>
    </w:p>
    <w:p w:rsidR="00491D49" w:rsidRDefault="00627C28">
      <w:pPr>
        <w:pStyle w:val="TOC1"/>
        <w:rPr>
          <w:rFonts w:asciiTheme="minorHAnsi" w:eastAsiaTheme="minorEastAsia" w:hAnsiTheme="minorHAnsi" w:cstheme="minorBidi"/>
          <w:sz w:val="22"/>
          <w:szCs w:val="22"/>
        </w:rPr>
      </w:pPr>
      <w:r>
        <w:fldChar w:fldCharType="begin"/>
      </w:r>
      <w:r w:rsidR="009111B2">
        <w:instrText xml:space="preserve"> TOC \o "1-3" \h \z \u </w:instrText>
      </w:r>
      <w:r>
        <w:fldChar w:fldCharType="separate"/>
      </w:r>
      <w:hyperlink w:anchor="_Toc422754271" w:history="1">
        <w:r w:rsidR="00491D49" w:rsidRPr="005E4499">
          <w:rPr>
            <w:rStyle w:val="Hyperlink"/>
          </w:rPr>
          <w:t>Summary</w:t>
        </w:r>
        <w:r w:rsidR="00491D49">
          <w:rPr>
            <w:webHidden/>
          </w:rPr>
          <w:tab/>
        </w:r>
        <w:r>
          <w:rPr>
            <w:webHidden/>
          </w:rPr>
          <w:fldChar w:fldCharType="begin"/>
        </w:r>
        <w:r w:rsidR="00491D49">
          <w:rPr>
            <w:webHidden/>
          </w:rPr>
          <w:instrText xml:space="preserve"> PAGEREF _Toc422754271 \h </w:instrText>
        </w:r>
        <w:r>
          <w:rPr>
            <w:webHidden/>
          </w:rPr>
        </w:r>
        <w:r>
          <w:rPr>
            <w:webHidden/>
          </w:rPr>
          <w:fldChar w:fldCharType="separate"/>
        </w:r>
        <w:r w:rsidR="00491D49">
          <w:rPr>
            <w:webHidden/>
          </w:rPr>
          <w:t>3</w:t>
        </w:r>
        <w:r>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72" w:history="1">
        <w:r w:rsidR="00491D49" w:rsidRPr="005E4499">
          <w:rPr>
            <w:rStyle w:val="Hyperlink"/>
          </w:rPr>
          <w:t>About this departmental advice</w:t>
        </w:r>
        <w:r w:rsidR="00491D49">
          <w:rPr>
            <w:webHidden/>
          </w:rPr>
          <w:tab/>
        </w:r>
        <w:r w:rsidR="00627C28">
          <w:rPr>
            <w:webHidden/>
          </w:rPr>
          <w:fldChar w:fldCharType="begin"/>
        </w:r>
        <w:r w:rsidR="00491D49">
          <w:rPr>
            <w:webHidden/>
          </w:rPr>
          <w:instrText xml:space="preserve"> PAGEREF _Toc422754272 \h </w:instrText>
        </w:r>
        <w:r w:rsidR="00627C28">
          <w:rPr>
            <w:webHidden/>
          </w:rPr>
        </w:r>
        <w:r w:rsidR="00627C28">
          <w:rPr>
            <w:webHidden/>
          </w:rPr>
          <w:fldChar w:fldCharType="separate"/>
        </w:r>
        <w:r w:rsidR="00491D49">
          <w:rPr>
            <w:webHidden/>
          </w:rPr>
          <w:t>3</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73" w:history="1">
        <w:r w:rsidR="00491D49" w:rsidRPr="005E4499">
          <w:rPr>
            <w:rStyle w:val="Hyperlink"/>
          </w:rPr>
          <w:t>Expiry or review date</w:t>
        </w:r>
        <w:r w:rsidR="00491D49">
          <w:rPr>
            <w:webHidden/>
          </w:rPr>
          <w:tab/>
        </w:r>
        <w:r w:rsidR="00627C28">
          <w:rPr>
            <w:webHidden/>
          </w:rPr>
          <w:fldChar w:fldCharType="begin"/>
        </w:r>
        <w:r w:rsidR="00491D49">
          <w:rPr>
            <w:webHidden/>
          </w:rPr>
          <w:instrText xml:space="preserve"> PAGEREF _Toc422754273 \h </w:instrText>
        </w:r>
        <w:r w:rsidR="00627C28">
          <w:rPr>
            <w:webHidden/>
          </w:rPr>
        </w:r>
        <w:r w:rsidR="00627C28">
          <w:rPr>
            <w:webHidden/>
          </w:rPr>
          <w:fldChar w:fldCharType="separate"/>
        </w:r>
        <w:r w:rsidR="00491D49">
          <w:rPr>
            <w:webHidden/>
          </w:rPr>
          <w:t>3</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74" w:history="1">
        <w:r w:rsidR="00491D49" w:rsidRPr="005E4499">
          <w:rPr>
            <w:rStyle w:val="Hyperlink"/>
          </w:rPr>
          <w:t>Who is this advice for?</w:t>
        </w:r>
        <w:r w:rsidR="00491D49">
          <w:rPr>
            <w:webHidden/>
          </w:rPr>
          <w:tab/>
        </w:r>
        <w:r w:rsidR="00627C28">
          <w:rPr>
            <w:webHidden/>
          </w:rPr>
          <w:fldChar w:fldCharType="begin"/>
        </w:r>
        <w:r w:rsidR="00491D49">
          <w:rPr>
            <w:webHidden/>
          </w:rPr>
          <w:instrText xml:space="preserve"> PAGEREF _Toc422754274 \h </w:instrText>
        </w:r>
        <w:r w:rsidR="00627C28">
          <w:rPr>
            <w:webHidden/>
          </w:rPr>
        </w:r>
        <w:r w:rsidR="00627C28">
          <w:rPr>
            <w:webHidden/>
          </w:rPr>
          <w:fldChar w:fldCharType="separate"/>
        </w:r>
        <w:r w:rsidR="00491D49">
          <w:rPr>
            <w:webHidden/>
          </w:rPr>
          <w:t>3</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75" w:history="1">
        <w:r w:rsidR="00491D49" w:rsidRPr="005E4499">
          <w:rPr>
            <w:rStyle w:val="Hyperlink"/>
          </w:rPr>
          <w:t>Main points</w:t>
        </w:r>
        <w:r w:rsidR="00491D49">
          <w:rPr>
            <w:webHidden/>
          </w:rPr>
          <w:tab/>
        </w:r>
        <w:r w:rsidR="00627C28">
          <w:rPr>
            <w:webHidden/>
          </w:rPr>
          <w:fldChar w:fldCharType="begin"/>
        </w:r>
        <w:r w:rsidR="00491D49">
          <w:rPr>
            <w:webHidden/>
          </w:rPr>
          <w:instrText xml:space="preserve"> PAGEREF _Toc422754275 \h </w:instrText>
        </w:r>
        <w:r w:rsidR="00627C28">
          <w:rPr>
            <w:webHidden/>
          </w:rPr>
        </w:r>
        <w:r w:rsidR="00627C28">
          <w:rPr>
            <w:webHidden/>
          </w:rPr>
          <w:fldChar w:fldCharType="separate"/>
        </w:r>
        <w:r w:rsidR="00491D49">
          <w:rPr>
            <w:webHidden/>
          </w:rPr>
          <w:t>3</w:t>
        </w:r>
        <w:r w:rsidR="00627C28">
          <w:rPr>
            <w:webHidden/>
          </w:rPr>
          <w:fldChar w:fldCharType="end"/>
        </w:r>
      </w:hyperlink>
    </w:p>
    <w:p w:rsidR="00491D49" w:rsidRDefault="00C934AB">
      <w:pPr>
        <w:pStyle w:val="TOC1"/>
        <w:rPr>
          <w:rFonts w:asciiTheme="minorHAnsi" w:eastAsiaTheme="minorEastAsia" w:hAnsiTheme="minorHAnsi" w:cstheme="minorBidi"/>
          <w:sz w:val="22"/>
          <w:szCs w:val="22"/>
        </w:rPr>
      </w:pPr>
      <w:hyperlink w:anchor="_Toc422754276" w:history="1">
        <w:r w:rsidR="00491D49" w:rsidRPr="005E4499">
          <w:rPr>
            <w:rStyle w:val="Hyperlink"/>
          </w:rPr>
          <w:t>Introduction</w:t>
        </w:r>
        <w:r w:rsidR="00491D49">
          <w:rPr>
            <w:webHidden/>
          </w:rPr>
          <w:tab/>
        </w:r>
        <w:r w:rsidR="00627C28">
          <w:rPr>
            <w:webHidden/>
          </w:rPr>
          <w:fldChar w:fldCharType="begin"/>
        </w:r>
        <w:r w:rsidR="00491D49">
          <w:rPr>
            <w:webHidden/>
          </w:rPr>
          <w:instrText xml:space="preserve"> PAGEREF _Toc422754276 \h </w:instrText>
        </w:r>
        <w:r w:rsidR="00627C28">
          <w:rPr>
            <w:webHidden/>
          </w:rPr>
        </w:r>
        <w:r w:rsidR="00627C28">
          <w:rPr>
            <w:webHidden/>
          </w:rPr>
          <w:fldChar w:fldCharType="separate"/>
        </w:r>
        <w:r w:rsidR="00491D49">
          <w:rPr>
            <w:webHidden/>
          </w:rPr>
          <w:t>4</w:t>
        </w:r>
        <w:r w:rsidR="00627C28">
          <w:rPr>
            <w:webHidden/>
          </w:rPr>
          <w:fldChar w:fldCharType="end"/>
        </w:r>
      </w:hyperlink>
    </w:p>
    <w:p w:rsidR="00491D49" w:rsidRDefault="00C934AB">
      <w:pPr>
        <w:pStyle w:val="TOC1"/>
        <w:rPr>
          <w:rFonts w:asciiTheme="minorHAnsi" w:eastAsiaTheme="minorEastAsia" w:hAnsiTheme="minorHAnsi" w:cstheme="minorBidi"/>
          <w:sz w:val="22"/>
          <w:szCs w:val="22"/>
        </w:rPr>
      </w:pPr>
      <w:hyperlink w:anchor="_Toc422754277" w:history="1">
        <w:r w:rsidR="00491D49" w:rsidRPr="005E4499">
          <w:rPr>
            <w:rStyle w:val="Hyperlink"/>
          </w:rPr>
          <w:t>The Prevent duty: what it means for schools and childcare providers</w:t>
        </w:r>
        <w:r w:rsidR="00491D49">
          <w:rPr>
            <w:webHidden/>
          </w:rPr>
          <w:tab/>
        </w:r>
        <w:r w:rsidR="00627C28">
          <w:rPr>
            <w:webHidden/>
          </w:rPr>
          <w:fldChar w:fldCharType="begin"/>
        </w:r>
        <w:r w:rsidR="00491D49">
          <w:rPr>
            <w:webHidden/>
          </w:rPr>
          <w:instrText xml:space="preserve"> PAGEREF _Toc422754277 \h </w:instrText>
        </w:r>
        <w:r w:rsidR="00627C28">
          <w:rPr>
            <w:webHidden/>
          </w:rPr>
        </w:r>
        <w:r w:rsidR="00627C28">
          <w:rPr>
            <w:webHidden/>
          </w:rPr>
          <w:fldChar w:fldCharType="separate"/>
        </w:r>
        <w:r w:rsidR="00491D49">
          <w:rPr>
            <w:webHidden/>
          </w:rPr>
          <w:t>5</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78" w:history="1">
        <w:r w:rsidR="00491D49" w:rsidRPr="005E4499">
          <w:rPr>
            <w:rStyle w:val="Hyperlink"/>
          </w:rPr>
          <w:t>Risk assessment</w:t>
        </w:r>
        <w:r w:rsidR="00491D49">
          <w:rPr>
            <w:webHidden/>
          </w:rPr>
          <w:tab/>
        </w:r>
        <w:r w:rsidR="00627C28">
          <w:rPr>
            <w:webHidden/>
          </w:rPr>
          <w:fldChar w:fldCharType="begin"/>
        </w:r>
        <w:r w:rsidR="00491D49">
          <w:rPr>
            <w:webHidden/>
          </w:rPr>
          <w:instrText xml:space="preserve"> PAGEREF _Toc422754278 \h </w:instrText>
        </w:r>
        <w:r w:rsidR="00627C28">
          <w:rPr>
            <w:webHidden/>
          </w:rPr>
        </w:r>
        <w:r w:rsidR="00627C28">
          <w:rPr>
            <w:webHidden/>
          </w:rPr>
          <w:fldChar w:fldCharType="separate"/>
        </w:r>
        <w:r w:rsidR="00491D49">
          <w:rPr>
            <w:webHidden/>
          </w:rPr>
          <w:t>5</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79" w:history="1">
        <w:r w:rsidR="00491D49" w:rsidRPr="005E4499">
          <w:rPr>
            <w:rStyle w:val="Hyperlink"/>
          </w:rPr>
          <w:t>Working in partnership</w:t>
        </w:r>
        <w:r w:rsidR="00491D49">
          <w:rPr>
            <w:webHidden/>
          </w:rPr>
          <w:tab/>
        </w:r>
        <w:r w:rsidR="00627C28">
          <w:rPr>
            <w:webHidden/>
          </w:rPr>
          <w:fldChar w:fldCharType="begin"/>
        </w:r>
        <w:r w:rsidR="00491D49">
          <w:rPr>
            <w:webHidden/>
          </w:rPr>
          <w:instrText xml:space="preserve"> PAGEREF _Toc422754279 \h </w:instrText>
        </w:r>
        <w:r w:rsidR="00627C28">
          <w:rPr>
            <w:webHidden/>
          </w:rPr>
        </w:r>
        <w:r w:rsidR="00627C28">
          <w:rPr>
            <w:webHidden/>
          </w:rPr>
          <w:fldChar w:fldCharType="separate"/>
        </w:r>
        <w:r w:rsidR="00491D49">
          <w:rPr>
            <w:webHidden/>
          </w:rPr>
          <w:t>7</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80" w:history="1">
        <w:r w:rsidR="00491D49" w:rsidRPr="005E4499">
          <w:rPr>
            <w:rStyle w:val="Hyperlink"/>
          </w:rPr>
          <w:t>Staff training</w:t>
        </w:r>
        <w:r w:rsidR="00491D49">
          <w:rPr>
            <w:webHidden/>
          </w:rPr>
          <w:tab/>
        </w:r>
        <w:r w:rsidR="00627C28">
          <w:rPr>
            <w:webHidden/>
          </w:rPr>
          <w:fldChar w:fldCharType="begin"/>
        </w:r>
        <w:r w:rsidR="00491D49">
          <w:rPr>
            <w:webHidden/>
          </w:rPr>
          <w:instrText xml:space="preserve"> PAGEREF _Toc422754280 \h </w:instrText>
        </w:r>
        <w:r w:rsidR="00627C28">
          <w:rPr>
            <w:webHidden/>
          </w:rPr>
        </w:r>
        <w:r w:rsidR="00627C28">
          <w:rPr>
            <w:webHidden/>
          </w:rPr>
          <w:fldChar w:fldCharType="separate"/>
        </w:r>
        <w:r w:rsidR="00491D49">
          <w:rPr>
            <w:webHidden/>
          </w:rPr>
          <w:t>7</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81" w:history="1">
        <w:r w:rsidR="00491D49" w:rsidRPr="005E4499">
          <w:rPr>
            <w:rStyle w:val="Hyperlink"/>
          </w:rPr>
          <w:t>IT policies</w:t>
        </w:r>
        <w:r w:rsidR="00491D49">
          <w:rPr>
            <w:webHidden/>
          </w:rPr>
          <w:tab/>
        </w:r>
        <w:r w:rsidR="00627C28">
          <w:rPr>
            <w:webHidden/>
          </w:rPr>
          <w:fldChar w:fldCharType="begin"/>
        </w:r>
        <w:r w:rsidR="00491D49">
          <w:rPr>
            <w:webHidden/>
          </w:rPr>
          <w:instrText xml:space="preserve"> PAGEREF _Toc422754281 \h </w:instrText>
        </w:r>
        <w:r w:rsidR="00627C28">
          <w:rPr>
            <w:webHidden/>
          </w:rPr>
        </w:r>
        <w:r w:rsidR="00627C28">
          <w:rPr>
            <w:webHidden/>
          </w:rPr>
          <w:fldChar w:fldCharType="separate"/>
        </w:r>
        <w:r w:rsidR="00491D49">
          <w:rPr>
            <w:webHidden/>
          </w:rPr>
          <w:t>8</w:t>
        </w:r>
        <w:r w:rsidR="00627C28">
          <w:rPr>
            <w:webHidden/>
          </w:rPr>
          <w:fldChar w:fldCharType="end"/>
        </w:r>
      </w:hyperlink>
    </w:p>
    <w:p w:rsidR="00491D49" w:rsidRDefault="00C934AB">
      <w:pPr>
        <w:pStyle w:val="TOC2"/>
        <w:rPr>
          <w:rFonts w:asciiTheme="minorHAnsi" w:eastAsiaTheme="minorEastAsia" w:hAnsiTheme="minorHAnsi" w:cstheme="minorBidi"/>
          <w:sz w:val="22"/>
          <w:szCs w:val="22"/>
        </w:rPr>
      </w:pPr>
      <w:hyperlink w:anchor="_Toc422754282" w:history="1">
        <w:r w:rsidR="00491D49" w:rsidRPr="005E4499">
          <w:rPr>
            <w:rStyle w:val="Hyperlink"/>
          </w:rPr>
          <w:t>Building children’s resilience to radicalisation</w:t>
        </w:r>
        <w:r w:rsidR="00491D49">
          <w:rPr>
            <w:webHidden/>
          </w:rPr>
          <w:tab/>
        </w:r>
        <w:r w:rsidR="00627C28">
          <w:rPr>
            <w:webHidden/>
          </w:rPr>
          <w:fldChar w:fldCharType="begin"/>
        </w:r>
        <w:r w:rsidR="00491D49">
          <w:rPr>
            <w:webHidden/>
          </w:rPr>
          <w:instrText xml:space="preserve"> PAGEREF _Toc422754282 \h </w:instrText>
        </w:r>
        <w:r w:rsidR="00627C28">
          <w:rPr>
            <w:webHidden/>
          </w:rPr>
        </w:r>
        <w:r w:rsidR="00627C28">
          <w:rPr>
            <w:webHidden/>
          </w:rPr>
          <w:fldChar w:fldCharType="separate"/>
        </w:r>
        <w:r w:rsidR="00491D49">
          <w:rPr>
            <w:webHidden/>
          </w:rPr>
          <w:t>8</w:t>
        </w:r>
        <w:r w:rsidR="00627C28">
          <w:rPr>
            <w:webHidden/>
          </w:rPr>
          <w:fldChar w:fldCharType="end"/>
        </w:r>
      </w:hyperlink>
    </w:p>
    <w:p w:rsidR="00491D49" w:rsidRDefault="00C934AB">
      <w:pPr>
        <w:pStyle w:val="TOC1"/>
        <w:rPr>
          <w:rFonts w:asciiTheme="minorHAnsi" w:eastAsiaTheme="minorEastAsia" w:hAnsiTheme="minorHAnsi" w:cstheme="minorBidi"/>
          <w:sz w:val="22"/>
          <w:szCs w:val="22"/>
        </w:rPr>
      </w:pPr>
      <w:hyperlink w:anchor="_Toc422754283" w:history="1">
        <w:r w:rsidR="00491D49" w:rsidRPr="005E4499">
          <w:rPr>
            <w:rStyle w:val="Hyperlink"/>
          </w:rPr>
          <w:t>What to do if you have a concern</w:t>
        </w:r>
        <w:r w:rsidR="00491D49">
          <w:rPr>
            <w:webHidden/>
          </w:rPr>
          <w:tab/>
        </w:r>
        <w:r w:rsidR="00627C28">
          <w:rPr>
            <w:webHidden/>
          </w:rPr>
          <w:fldChar w:fldCharType="begin"/>
        </w:r>
        <w:r w:rsidR="00491D49">
          <w:rPr>
            <w:webHidden/>
          </w:rPr>
          <w:instrText xml:space="preserve"> PAGEREF _Toc422754283 \h </w:instrText>
        </w:r>
        <w:r w:rsidR="00627C28">
          <w:rPr>
            <w:webHidden/>
          </w:rPr>
        </w:r>
        <w:r w:rsidR="00627C28">
          <w:rPr>
            <w:webHidden/>
          </w:rPr>
          <w:fldChar w:fldCharType="separate"/>
        </w:r>
        <w:r w:rsidR="00491D49">
          <w:rPr>
            <w:webHidden/>
          </w:rPr>
          <w:t>10</w:t>
        </w:r>
        <w:r w:rsidR="00627C28">
          <w:rPr>
            <w:webHidden/>
          </w:rPr>
          <w:fldChar w:fldCharType="end"/>
        </w:r>
      </w:hyperlink>
    </w:p>
    <w:p w:rsidR="00DD5341" w:rsidRPr="00256A72" w:rsidRDefault="00627C28" w:rsidP="00256A72">
      <w:pPr>
        <w:pStyle w:val="Heading1"/>
      </w:pPr>
      <w:r>
        <w:lastRenderedPageBreak/>
        <w:fldChar w:fldCharType="end"/>
      </w:r>
      <w:bookmarkStart w:id="6" w:name="_Toc422754271"/>
      <w:r w:rsidR="0059241F" w:rsidRPr="00FD2CE9">
        <w:t>Summary</w:t>
      </w:r>
      <w:bookmarkEnd w:id="1"/>
      <w:bookmarkEnd w:id="2"/>
      <w:bookmarkEnd w:id="3"/>
      <w:bookmarkEnd w:id="6"/>
      <w:r w:rsidR="00256A72" w:rsidRPr="00256A72">
        <w:tab/>
      </w:r>
    </w:p>
    <w:p w:rsidR="0059241F" w:rsidRPr="0059241F" w:rsidRDefault="0059241F" w:rsidP="00941881">
      <w:pPr>
        <w:pStyle w:val="Heading2"/>
      </w:pPr>
      <w:bookmarkStart w:id="7" w:name="_Toc338167829"/>
      <w:bookmarkStart w:id="8" w:name="_Toc361136402"/>
      <w:bookmarkStart w:id="9" w:name="_Toc364235707"/>
      <w:bookmarkStart w:id="10" w:name="_Toc364235751"/>
      <w:bookmarkStart w:id="11" w:name="_Toc364235833"/>
      <w:bookmarkStart w:id="12" w:name="_Toc364840098"/>
      <w:bookmarkStart w:id="13" w:name="_Toc364864308"/>
      <w:bookmarkStart w:id="14" w:name="_Toc422754272"/>
      <w:r>
        <w:t>About this departmental advice</w:t>
      </w:r>
      <w:bookmarkEnd w:id="7"/>
      <w:bookmarkEnd w:id="8"/>
      <w:bookmarkEnd w:id="9"/>
      <w:bookmarkEnd w:id="10"/>
      <w:bookmarkEnd w:id="11"/>
      <w:bookmarkEnd w:id="12"/>
      <w:bookmarkEnd w:id="13"/>
      <w:bookmarkEnd w:id="14"/>
    </w:p>
    <w:p w:rsidR="00A11BA9" w:rsidRDefault="00A11BA9" w:rsidP="009B51DF">
      <w:r>
        <w:t>This is departmental advice from the Department for Education. This advice is non-statutory, and has been produced to help recipients understand the implications of the Prevent duty.</w:t>
      </w:r>
      <w:r w:rsidR="007772AC">
        <w:t xml:space="preserve"> The Prevent duty is the duty in the Counter-Terrorism and Security Act </w:t>
      </w:r>
      <w:r w:rsidR="00E27826">
        <w:t>2015</w:t>
      </w:r>
      <w:r w:rsidR="00555A8D" w:rsidRPr="00555A8D">
        <w:t xml:space="preserve"> on specified authorities, in the exercise of their functions, </w:t>
      </w:r>
      <w:r w:rsidR="007772AC">
        <w:t>to have due regard to the need to prevent people from being drawn into terrorism.</w:t>
      </w:r>
    </w:p>
    <w:p w:rsidR="00DD5341" w:rsidRDefault="00A11DAD" w:rsidP="00941881">
      <w:pPr>
        <w:pStyle w:val="Heading2"/>
      </w:pPr>
      <w:bookmarkStart w:id="15" w:name="_Toc338167830"/>
      <w:bookmarkStart w:id="16" w:name="_Toc361136403"/>
      <w:bookmarkStart w:id="17" w:name="_Toc364235708"/>
      <w:bookmarkStart w:id="18" w:name="_Toc364235752"/>
      <w:bookmarkStart w:id="19" w:name="_Toc364235834"/>
      <w:bookmarkStart w:id="20" w:name="_Toc364840099"/>
      <w:bookmarkStart w:id="21" w:name="_Toc364864309"/>
      <w:bookmarkStart w:id="22" w:name="_Toc422754273"/>
      <w:r>
        <w:t>Expiry</w:t>
      </w:r>
      <w:r w:rsidR="0059241F">
        <w:t xml:space="preserve"> </w:t>
      </w:r>
      <w:r w:rsidR="00670DF9">
        <w:t>or</w:t>
      </w:r>
      <w:r w:rsidR="0059241F">
        <w:t xml:space="preserve"> </w:t>
      </w:r>
      <w:r>
        <w:t>review date</w:t>
      </w:r>
      <w:bookmarkEnd w:id="15"/>
      <w:bookmarkEnd w:id="16"/>
      <w:bookmarkEnd w:id="17"/>
      <w:bookmarkEnd w:id="18"/>
      <w:bookmarkEnd w:id="19"/>
      <w:bookmarkEnd w:id="20"/>
      <w:bookmarkEnd w:id="21"/>
      <w:bookmarkEnd w:id="22"/>
    </w:p>
    <w:p w:rsidR="00A11DAD" w:rsidRPr="00252D87" w:rsidRDefault="00A11BA9" w:rsidP="009B51DF">
      <w:r>
        <w:t>This advice will next be reviewed before September 2016</w:t>
      </w:r>
      <w:r w:rsidR="009B51DF" w:rsidRPr="009B51DF">
        <w:t>.</w:t>
      </w:r>
    </w:p>
    <w:p w:rsidR="00A11DAD" w:rsidRDefault="00A11DAD" w:rsidP="00941881">
      <w:pPr>
        <w:pStyle w:val="Heading2"/>
      </w:pPr>
      <w:bookmarkStart w:id="23" w:name="_Toc338167831"/>
      <w:bookmarkStart w:id="24" w:name="_Toc361136404"/>
      <w:bookmarkStart w:id="25" w:name="_Toc364235709"/>
      <w:bookmarkStart w:id="26" w:name="_Toc364235753"/>
      <w:bookmarkStart w:id="27" w:name="_Toc364235835"/>
      <w:bookmarkStart w:id="28" w:name="_Toc364840100"/>
      <w:bookmarkStart w:id="29" w:name="_Toc364864310"/>
      <w:bookmarkStart w:id="30" w:name="_Toc422754274"/>
      <w:r>
        <w:t xml:space="preserve">Who is this </w:t>
      </w:r>
      <w:r w:rsidR="006A7A22">
        <w:t>advice</w:t>
      </w:r>
      <w:r>
        <w:t xml:space="preserve"> for?</w:t>
      </w:r>
      <w:bookmarkEnd w:id="23"/>
      <w:bookmarkEnd w:id="24"/>
      <w:bookmarkEnd w:id="25"/>
      <w:bookmarkEnd w:id="26"/>
      <w:bookmarkEnd w:id="27"/>
      <w:bookmarkEnd w:id="28"/>
      <w:bookmarkEnd w:id="29"/>
      <w:bookmarkEnd w:id="30"/>
    </w:p>
    <w:p w:rsidR="00E8714C" w:rsidRPr="00E8714C" w:rsidRDefault="00E8714C" w:rsidP="00E8714C">
      <w:bookmarkStart w:id="31" w:name="_Toc338167832"/>
      <w:bookmarkStart w:id="32" w:name="_Toc361136405"/>
      <w:bookmarkStart w:id="33" w:name="_Toc364235710"/>
      <w:bookmarkStart w:id="34" w:name="_Toc364235754"/>
      <w:bookmarkStart w:id="35" w:name="_Toc364235836"/>
      <w:bookmarkStart w:id="36" w:name="_Toc364840101"/>
      <w:bookmarkStart w:id="37" w:name="_Toc364864311"/>
      <w:r w:rsidRPr="00E8714C">
        <w:t xml:space="preserve">This advice is for: </w:t>
      </w:r>
    </w:p>
    <w:p w:rsidR="00E8714C" w:rsidRPr="00E8714C" w:rsidRDefault="00E8714C" w:rsidP="00361B5E">
      <w:pPr>
        <w:numPr>
          <w:ilvl w:val="0"/>
          <w:numId w:val="16"/>
        </w:numPr>
      </w:pPr>
      <w:r w:rsidRPr="00E8714C">
        <w:t>Governing bodies, school leaders and school staff in maintained schools (including nursery schools), non-maintained special schools, proprietors of independent schools (including academies and free schools), alternative provision academies and 16-19 academies</w:t>
      </w:r>
    </w:p>
    <w:p w:rsidR="00E8714C" w:rsidRPr="00E8714C" w:rsidRDefault="00E8714C" w:rsidP="00361B5E">
      <w:pPr>
        <w:numPr>
          <w:ilvl w:val="0"/>
          <w:numId w:val="17"/>
        </w:numPr>
      </w:pPr>
      <w:r w:rsidRPr="00E8714C">
        <w:t>Management committees and staff in pupil referral units</w:t>
      </w:r>
    </w:p>
    <w:p w:rsidR="00E8714C" w:rsidRPr="00E8714C" w:rsidRDefault="00E8714C" w:rsidP="00361B5E">
      <w:pPr>
        <w:numPr>
          <w:ilvl w:val="0"/>
          <w:numId w:val="17"/>
        </w:numPr>
      </w:pPr>
      <w:r w:rsidRPr="00E8714C">
        <w:t>Proprietors and managers and staff in registered childcare settings</w:t>
      </w:r>
    </w:p>
    <w:p w:rsidR="00E8714C" w:rsidRPr="00E8714C" w:rsidRDefault="00E8714C" w:rsidP="00E8714C">
      <w:r w:rsidRPr="00E8714C">
        <w:t>It will be of particular interest to safeguarding leads.</w:t>
      </w:r>
    </w:p>
    <w:p w:rsidR="00A11DAD" w:rsidRPr="00A11DAD" w:rsidRDefault="00446538" w:rsidP="00941881">
      <w:pPr>
        <w:pStyle w:val="Heading2"/>
      </w:pPr>
      <w:bookmarkStart w:id="38" w:name="_Toc422754275"/>
      <w:r>
        <w:t>Main</w:t>
      </w:r>
      <w:r w:rsidR="00A11DAD">
        <w:t xml:space="preserve"> points</w:t>
      </w:r>
      <w:bookmarkEnd w:id="31"/>
      <w:bookmarkEnd w:id="32"/>
      <w:bookmarkEnd w:id="33"/>
      <w:bookmarkEnd w:id="34"/>
      <w:bookmarkEnd w:id="35"/>
      <w:bookmarkEnd w:id="36"/>
      <w:bookmarkEnd w:id="37"/>
      <w:bookmarkEnd w:id="38"/>
    </w:p>
    <w:p w:rsidR="00B35061" w:rsidRPr="00786F38" w:rsidRDefault="00B35061" w:rsidP="00B35061">
      <w:bookmarkStart w:id="39" w:name="_Toc338167833"/>
      <w:bookmarkStart w:id="40" w:name="_Toc364235711"/>
      <w:bookmarkStart w:id="41" w:name="_Toc364235755"/>
      <w:bookmarkEnd w:id="4"/>
      <w:bookmarkEnd w:id="5"/>
      <w:r w:rsidRPr="00786F38">
        <w:t>The main points of this advice are to:</w:t>
      </w:r>
    </w:p>
    <w:p w:rsidR="00B35061" w:rsidRPr="00786F38" w:rsidRDefault="00B35061" w:rsidP="00361B5E">
      <w:pPr>
        <w:numPr>
          <w:ilvl w:val="0"/>
          <w:numId w:val="15"/>
        </w:numPr>
      </w:pPr>
      <w:r w:rsidRPr="00786F38">
        <w:t>explain what the Prevent duty means for schools and childcare providers;</w:t>
      </w:r>
    </w:p>
    <w:p w:rsidR="00B35061" w:rsidRPr="00786F38" w:rsidRDefault="00B35061" w:rsidP="00361B5E">
      <w:pPr>
        <w:numPr>
          <w:ilvl w:val="0"/>
          <w:numId w:val="15"/>
        </w:numPr>
      </w:pPr>
      <w:r w:rsidRPr="00786F38">
        <w:t>make clear what schools and childcare providers should do to demonstrate compliance with the duty; and</w:t>
      </w:r>
    </w:p>
    <w:p w:rsidR="00B35061" w:rsidRPr="00786F38" w:rsidRDefault="00B35061" w:rsidP="00361B5E">
      <w:pPr>
        <w:numPr>
          <w:ilvl w:val="0"/>
          <w:numId w:val="15"/>
        </w:numPr>
      </w:pPr>
      <w:r w:rsidRPr="00786F38">
        <w:t>inform schools and childcare providers about other sources of information, advice and support.</w:t>
      </w:r>
    </w:p>
    <w:p w:rsidR="00C72173" w:rsidRPr="007A399A" w:rsidRDefault="00A11BA9" w:rsidP="00C72173">
      <w:pPr>
        <w:pStyle w:val="Heading1"/>
      </w:pPr>
      <w:bookmarkStart w:id="42" w:name="_Toc422754276"/>
      <w:r>
        <w:lastRenderedPageBreak/>
        <w:t>Introduction</w:t>
      </w:r>
      <w:bookmarkEnd w:id="39"/>
      <w:bookmarkEnd w:id="40"/>
      <w:bookmarkEnd w:id="41"/>
      <w:bookmarkEnd w:id="42"/>
    </w:p>
    <w:p w:rsidR="00B35061" w:rsidRDefault="00B35061" w:rsidP="00E7772E">
      <w:pPr>
        <w:autoSpaceDE w:val="0"/>
        <w:autoSpaceDN w:val="0"/>
        <w:adjustRightInd w:val="0"/>
        <w:spacing w:after="0" w:line="240" w:lineRule="auto"/>
        <w:contextualSpacing/>
        <w:rPr>
          <w:rFonts w:cs="Arial"/>
        </w:rPr>
      </w:pPr>
      <w:bookmarkStart w:id="43" w:name="_Toc363551028"/>
      <w:bookmarkStart w:id="44" w:name="_Toc363728349"/>
      <w:bookmarkStart w:id="45" w:name="_Toc364235712"/>
      <w:bookmarkStart w:id="46" w:name="_Toc364235756"/>
      <w:bookmarkStart w:id="47" w:name="_Toc363551029"/>
      <w:bookmarkStart w:id="48" w:name="_Toc363728348"/>
      <w:r w:rsidRPr="00555A8D">
        <w:rPr>
          <w:rFonts w:cs="Arial"/>
        </w:rPr>
        <w:t>From 1 July 2015 all schools</w:t>
      </w:r>
      <w:r w:rsidR="005D6675">
        <w:rPr>
          <w:rStyle w:val="FootnoteReference"/>
          <w:rFonts w:cs="Arial"/>
        </w:rPr>
        <w:footnoteReference w:id="1"/>
      </w:r>
      <w:r w:rsidR="00E27826" w:rsidRPr="00555A8D">
        <w:rPr>
          <w:rFonts w:cs="Arial"/>
        </w:rPr>
        <w:t>,</w:t>
      </w:r>
      <w:r w:rsidR="00571952">
        <w:rPr>
          <w:rFonts w:cs="Arial"/>
        </w:rPr>
        <w:t xml:space="preserve"> </w:t>
      </w:r>
      <w:r w:rsidR="00E27826" w:rsidRPr="00E7772E">
        <w:rPr>
          <w:rFonts w:cs="Arial"/>
          <w:color w:val="000000"/>
        </w:rPr>
        <w:t>registered early years childcare providers</w:t>
      </w:r>
      <w:r w:rsidR="00E27826" w:rsidRPr="00E7772E">
        <w:rPr>
          <w:rStyle w:val="FootnoteReference"/>
          <w:rFonts w:cs="Arial"/>
          <w:color w:val="000000"/>
        </w:rPr>
        <w:footnoteReference w:id="2"/>
      </w:r>
      <w:r w:rsidR="00E27826" w:rsidRPr="00E7772E">
        <w:rPr>
          <w:rFonts w:cs="Arial"/>
          <w:color w:val="000000"/>
        </w:rPr>
        <w:t xml:space="preserve"> and</w:t>
      </w:r>
      <w:r w:rsidR="00E7772E">
        <w:rPr>
          <w:rFonts w:cs="Arial"/>
          <w:color w:val="000000"/>
        </w:rPr>
        <w:t xml:space="preserve"> </w:t>
      </w:r>
      <w:r w:rsidR="00E27826" w:rsidRPr="00E7772E">
        <w:rPr>
          <w:rFonts w:cs="Arial"/>
          <w:color w:val="000000"/>
        </w:rPr>
        <w:t>registered later years childcare providers</w:t>
      </w:r>
      <w:r w:rsidR="00E27826" w:rsidRPr="00E7772E">
        <w:rPr>
          <w:rStyle w:val="FootnoteReference"/>
          <w:rFonts w:cs="Arial"/>
          <w:color w:val="000000"/>
        </w:rPr>
        <w:footnoteReference w:id="3"/>
      </w:r>
      <w:r w:rsidR="00E27826">
        <w:rPr>
          <w:rFonts w:cs="Arial"/>
          <w:color w:val="000000"/>
        </w:rPr>
        <w:t xml:space="preserve"> (referred to in this </w:t>
      </w:r>
      <w:r w:rsidR="00D247EB">
        <w:rPr>
          <w:rFonts w:cs="Arial"/>
          <w:color w:val="000000"/>
        </w:rPr>
        <w:t>advic</w:t>
      </w:r>
      <w:r w:rsidR="00E27826">
        <w:rPr>
          <w:rFonts w:cs="Arial"/>
          <w:color w:val="000000"/>
        </w:rPr>
        <w:t>e as ‘</w:t>
      </w:r>
      <w:r w:rsidRPr="00786F38">
        <w:rPr>
          <w:rFonts w:cs="Arial"/>
        </w:rPr>
        <w:t>childcare providers</w:t>
      </w:r>
      <w:r w:rsidR="00E27826">
        <w:rPr>
          <w:rFonts w:cs="Arial"/>
        </w:rPr>
        <w:t>’)</w:t>
      </w:r>
      <w:r w:rsidRPr="00786F38">
        <w:rPr>
          <w:rFonts w:cs="Arial"/>
        </w:rPr>
        <w:t xml:space="preserve"> are subject to a duty under </w:t>
      </w:r>
      <w:r w:rsidR="00555A8D">
        <w:rPr>
          <w:rFonts w:cs="Arial"/>
        </w:rPr>
        <w:t xml:space="preserve">section 26 of </w:t>
      </w:r>
      <w:r w:rsidRPr="00786F38">
        <w:rPr>
          <w:rFonts w:cs="Arial"/>
        </w:rPr>
        <w:t>the Counter-Terrorism and Security Act 2015</w:t>
      </w:r>
      <w:r w:rsidR="00555A8D">
        <w:rPr>
          <w:rFonts w:cs="Arial"/>
        </w:rPr>
        <w:t>, in the exercise of their functions,</w:t>
      </w:r>
      <w:r w:rsidRPr="00786F38">
        <w:rPr>
          <w:rFonts w:cs="Arial"/>
        </w:rPr>
        <w:t xml:space="preserve"> to have “due regard to the need to prevent people from being drawn into terrorism”.</w:t>
      </w:r>
      <w:r w:rsidR="00705D1E">
        <w:rPr>
          <w:rFonts w:cs="Arial"/>
        </w:rPr>
        <w:t xml:space="preserve"> </w:t>
      </w:r>
      <w:r w:rsidRPr="00786F38">
        <w:rPr>
          <w:rFonts w:cs="Arial"/>
        </w:rPr>
        <w:t>This duty is known as the Prevent duty.</w:t>
      </w:r>
      <w:r w:rsidR="00705D1E">
        <w:rPr>
          <w:rFonts w:cs="Arial"/>
        </w:rPr>
        <w:t xml:space="preserve"> </w:t>
      </w:r>
      <w:r w:rsidRPr="00786F38">
        <w:rPr>
          <w:rFonts w:cs="Arial"/>
        </w:rPr>
        <w:t>It applies to a wide range of public-facing bodies.</w:t>
      </w:r>
      <w:r w:rsidR="00705D1E">
        <w:rPr>
          <w:rFonts w:cs="Arial"/>
        </w:rPr>
        <w:t xml:space="preserve"> </w:t>
      </w:r>
      <w:r w:rsidRPr="00786F38">
        <w:rPr>
          <w:rFonts w:cs="Arial"/>
        </w:rPr>
        <w:t xml:space="preserve">Bodies to which the duty applies </w:t>
      </w:r>
      <w:hyperlink r:id="rId14" w:history="1">
        <w:r w:rsidRPr="00B35061">
          <w:rPr>
            <w:rStyle w:val="Hyperlink"/>
            <w:rFonts w:cs="Arial"/>
          </w:rPr>
          <w:t>must have regard to the statutory guidance</w:t>
        </w:r>
      </w:hyperlink>
      <w:r w:rsidRPr="00786F38">
        <w:rPr>
          <w:rFonts w:cs="Arial"/>
        </w:rPr>
        <w:t>.</w:t>
      </w:r>
      <w:r w:rsidR="00705D1E">
        <w:rPr>
          <w:rFonts w:cs="Arial"/>
        </w:rPr>
        <w:t xml:space="preserve"> </w:t>
      </w:r>
      <w:r w:rsidRPr="00786F38">
        <w:rPr>
          <w:rFonts w:cs="Arial"/>
        </w:rPr>
        <w:t>Paragraphs</w:t>
      </w:r>
      <w:r w:rsidR="00705D1E">
        <w:rPr>
          <w:rFonts w:cs="Arial"/>
        </w:rPr>
        <w:t xml:space="preserve"> </w:t>
      </w:r>
      <w:r w:rsidRPr="00786F38">
        <w:rPr>
          <w:rFonts w:cs="Arial"/>
        </w:rPr>
        <w:t>57-76 of the guidance are concerned specifically with schools and childcare providers.</w:t>
      </w:r>
    </w:p>
    <w:p w:rsidR="00E7772E" w:rsidRPr="00786F38" w:rsidRDefault="00E7772E" w:rsidP="00E7772E">
      <w:pPr>
        <w:autoSpaceDE w:val="0"/>
        <w:autoSpaceDN w:val="0"/>
        <w:adjustRightInd w:val="0"/>
        <w:spacing w:after="0" w:line="240" w:lineRule="auto"/>
        <w:contextualSpacing/>
        <w:rPr>
          <w:rFonts w:cs="Arial"/>
        </w:rPr>
      </w:pPr>
    </w:p>
    <w:p w:rsidR="00B35061" w:rsidRPr="00786F38" w:rsidRDefault="00B35061" w:rsidP="00E7772E">
      <w:pPr>
        <w:rPr>
          <w:rFonts w:cs="Arial"/>
        </w:rPr>
      </w:pPr>
      <w:r w:rsidRPr="00786F38">
        <w:rPr>
          <w:rFonts w:cs="Arial"/>
        </w:rPr>
        <w:t>This advice complements the statutory guidance and refers to other relevant guidance and advice.</w:t>
      </w:r>
      <w:r w:rsidR="00705D1E">
        <w:rPr>
          <w:rFonts w:cs="Arial"/>
        </w:rPr>
        <w:t xml:space="preserve"> </w:t>
      </w:r>
      <w:r w:rsidRPr="00786F38">
        <w:rPr>
          <w:rFonts w:cs="Arial"/>
        </w:rPr>
        <w:t>It is intended to help schools and childcare providers think about what they can do to protect children from the risk of radicalisation</w:t>
      </w:r>
      <w:r w:rsidRPr="00786F38">
        <w:rPr>
          <w:rFonts w:cs="Arial"/>
          <w:vertAlign w:val="superscript"/>
        </w:rPr>
        <w:footnoteReference w:id="4"/>
      </w:r>
      <w:r w:rsidRPr="00786F38">
        <w:rPr>
          <w:rFonts w:cs="Arial"/>
        </w:rPr>
        <w:t xml:space="preserve"> and suggests how they can access support to do this.</w:t>
      </w:r>
      <w:r w:rsidR="00705D1E">
        <w:rPr>
          <w:rFonts w:cs="Arial"/>
        </w:rPr>
        <w:t xml:space="preserve"> </w:t>
      </w:r>
      <w:r w:rsidRPr="00786F38">
        <w:rPr>
          <w:rFonts w:cs="Arial"/>
        </w:rPr>
        <w:t>It reflects actions that many schools and childcare providers will already be taking to protect children from this risk.</w:t>
      </w:r>
    </w:p>
    <w:p w:rsidR="00A11BA9" w:rsidRDefault="00A11BA9" w:rsidP="00A11BA9">
      <w:pPr>
        <w:pStyle w:val="Heading1"/>
      </w:pPr>
      <w:bookmarkStart w:id="49" w:name="_Toc422754277"/>
      <w:r>
        <w:lastRenderedPageBreak/>
        <w:t>The Prevent duty: what it means for schools and childcare providers</w:t>
      </w:r>
      <w:bookmarkEnd w:id="49"/>
    </w:p>
    <w:p w:rsidR="00A11BA9" w:rsidRDefault="00A11BA9" w:rsidP="00A11BA9">
      <w:r>
        <w:t>In order for schools and childcare providers to fulfil the Prevent duty, it is essential that staff are able to identify children who may be vulnerable to radicalisation, and know what to do when they are identified.</w:t>
      </w:r>
      <w:r w:rsidR="000E6E3B">
        <w:t xml:space="preserve"> </w:t>
      </w:r>
      <w:r>
        <w:t xml:space="preserve">Protecting children from the risk of radicalisation should be seen as part of schools’ and </w:t>
      </w:r>
      <w:r w:rsidR="00E27826">
        <w:t xml:space="preserve">childcare </w:t>
      </w:r>
      <w:r>
        <w:t xml:space="preserve">providers’ wider safeguarding duties, and is similar in nature to protecting children from other harms (e.g. drugs, gangs, neglect, sexual exploitation), whether these come from within their family or are the product of outside influences. </w:t>
      </w:r>
    </w:p>
    <w:p w:rsidR="00A11BA9" w:rsidRDefault="00A11BA9" w:rsidP="00A11BA9">
      <w:r>
        <w:t>Schools and childcare providers can also build pupils’ resilience to radicalisation by promoting fundamental British values and enabling them to challenge extremist</w:t>
      </w:r>
      <w:r w:rsidR="00E7772E">
        <w:rPr>
          <w:rStyle w:val="FootnoteReference"/>
        </w:rPr>
        <w:footnoteReference w:id="5"/>
      </w:r>
      <w:r w:rsidR="000E6E3B">
        <w:t xml:space="preserve"> </w:t>
      </w:r>
      <w:r>
        <w:t>views.</w:t>
      </w:r>
      <w:r w:rsidR="000E6E3B">
        <w:t xml:space="preserve"> </w:t>
      </w:r>
      <w:r>
        <w:t>It is important to emphasise that the Prevent duty is not intended to stop pupils debating controversial issues.</w:t>
      </w:r>
      <w:r w:rsidR="000E6E3B">
        <w:t xml:space="preserve"> </w:t>
      </w:r>
      <w:r>
        <w:t xml:space="preserve">On the contrary, schools should provide a safe space in which children, young people and staff can understand the risks associated with terrorism and develop the knowledge and skills to be able to challenge extremist arguments. </w:t>
      </w:r>
      <w:r w:rsidR="000D2291">
        <w:t>For early years childcare providers, t</w:t>
      </w:r>
      <w:r>
        <w:t xml:space="preserve">he </w:t>
      </w:r>
      <w:r w:rsidR="000D2291">
        <w:t xml:space="preserve">statutory framework for the </w:t>
      </w:r>
      <w:r>
        <w:t xml:space="preserve">Early Years Foundation Stage </w:t>
      </w:r>
      <w:r w:rsidR="000D2291">
        <w:t>sets standards for learning, development and care for</w:t>
      </w:r>
      <w:r>
        <w:t xml:space="preserve"> children </w:t>
      </w:r>
      <w:r w:rsidR="000D2291">
        <w:t>from 0-5, thereby assisting</w:t>
      </w:r>
      <w:r>
        <w:t xml:space="preserve"> their personal, social and emotional development and understanding</w:t>
      </w:r>
      <w:r w:rsidR="000D2291">
        <w:t xml:space="preserve"> of </w:t>
      </w:r>
      <w:r>
        <w:t>the world.</w:t>
      </w:r>
      <w:r w:rsidR="000E6E3B">
        <w:t xml:space="preserve"> </w:t>
      </w:r>
    </w:p>
    <w:p w:rsidR="00A11BA9" w:rsidRDefault="00A11BA9" w:rsidP="00A11BA9">
      <w:r>
        <w:t>The Prevent duty is entirely consistent with schools’ and childcare providers’ existing responsibilities and should not be burdensome.</w:t>
      </w:r>
      <w:r w:rsidR="000E6E3B">
        <w:t xml:space="preserve"> </w:t>
      </w:r>
      <w:r w:rsidR="00753A38" w:rsidRPr="00753A38">
        <w:t>Ofsted’s</w:t>
      </w:r>
      <w:r w:rsidR="006B5675">
        <w:t xml:space="preserve"> revised</w:t>
      </w:r>
      <w:r w:rsidR="00753A38" w:rsidRPr="00753A38">
        <w:t xml:space="preserve"> </w:t>
      </w:r>
      <w:r w:rsidR="007B2AB6">
        <w:t>c</w:t>
      </w:r>
      <w:r w:rsidR="00753A38" w:rsidRPr="00753A38">
        <w:t xml:space="preserve">ommon </w:t>
      </w:r>
      <w:r w:rsidR="007B2AB6">
        <w:t>i</w:t>
      </w:r>
      <w:r w:rsidR="00753A38" w:rsidRPr="00753A38">
        <w:t xml:space="preserve">nspection </w:t>
      </w:r>
      <w:r w:rsidR="007B2AB6">
        <w:t>f</w:t>
      </w:r>
      <w:r w:rsidR="00753A38" w:rsidRPr="00753A38">
        <w:t>ramework</w:t>
      </w:r>
      <w:r w:rsidR="007B2AB6">
        <w:t xml:space="preserve"> for education, skills and early years</w:t>
      </w:r>
      <w:r w:rsidR="006B5675">
        <w:t>, which comes into effect from 1 September 2015,</w:t>
      </w:r>
      <w:r w:rsidR="00753A38" w:rsidRPr="00753A38">
        <w:t xml:space="preserve"> makes specific reference to the need to have safeguarding arrangements to promote </w:t>
      </w:r>
      <w:r w:rsidR="00753A38">
        <w:t xml:space="preserve">pupils’ </w:t>
      </w:r>
      <w:r w:rsidR="00753A38" w:rsidRPr="00753A38">
        <w:t xml:space="preserve">welfare and prevent radicalisation and extremism. </w:t>
      </w:r>
      <w:r w:rsidR="00753A38">
        <w:t>The associated handbooks</w:t>
      </w:r>
      <w:r w:rsidR="007B2AB6">
        <w:t xml:space="preserve"> for</w:t>
      </w:r>
      <w:r w:rsidR="00753A38">
        <w:t xml:space="preserve"> </w:t>
      </w:r>
      <w:r w:rsidR="007B2AB6">
        <w:t>inspectors set out the expectations for</w:t>
      </w:r>
      <w:r w:rsidR="00753A38">
        <w:t xml:space="preserve"> different settings</w:t>
      </w:r>
      <w:r w:rsidR="007B2AB6">
        <w:t>. The</w:t>
      </w:r>
      <w:r>
        <w:t xml:space="preserve"> common inspection framework and handbo</w:t>
      </w:r>
      <w:r w:rsidR="007B2AB6">
        <w:t>ok</w:t>
      </w:r>
      <w:r>
        <w:t xml:space="preserve">s are available </w:t>
      </w:r>
      <w:hyperlink r:id="rId15" w:history="1">
        <w:r w:rsidR="00B35061" w:rsidRPr="00B35061">
          <w:rPr>
            <w:rStyle w:val="Hyperlink"/>
          </w:rPr>
          <w:t>on GOV.UK</w:t>
        </w:r>
      </w:hyperlink>
      <w:r w:rsidR="00B35061">
        <w:t>.</w:t>
      </w:r>
    </w:p>
    <w:p w:rsidR="00A11BA9" w:rsidRDefault="00A11BA9" w:rsidP="00A11BA9">
      <w:r>
        <w:t>Th</w:t>
      </w:r>
      <w:r w:rsidR="006B5675">
        <w:t>e statutory</w:t>
      </w:r>
      <w:r>
        <w:t xml:space="preserve"> guidance </w:t>
      </w:r>
      <w:r w:rsidR="006B5675">
        <w:t xml:space="preserve">on the Prevent duty </w:t>
      </w:r>
      <w:r>
        <w:t>summarises the requirements on schools and childcare providers in terms of four general themes: risk assessment, working in partnership, staff training and IT policies.</w:t>
      </w:r>
      <w:r w:rsidR="000E6E3B">
        <w:t xml:space="preserve"> </w:t>
      </w:r>
      <w:r>
        <w:t>This advice focuses on those four themes.</w:t>
      </w:r>
    </w:p>
    <w:p w:rsidR="00A11BA9" w:rsidRDefault="00A11BA9" w:rsidP="00A11BA9">
      <w:pPr>
        <w:pStyle w:val="Heading2"/>
      </w:pPr>
      <w:bookmarkStart w:id="50" w:name="_Toc422754278"/>
      <w:r>
        <w:t>Risk assessment</w:t>
      </w:r>
      <w:bookmarkEnd w:id="50"/>
    </w:p>
    <w:p w:rsidR="00A11BA9" w:rsidRDefault="00A11BA9" w:rsidP="00A11BA9">
      <w:r>
        <w:t>The statutory guidance makes clear that schools and childcare providers are expected to assess the risk of children being drawn into terrorism, including support for extremist ideas that are part of terrorist ideology.</w:t>
      </w:r>
      <w:r w:rsidR="000E6E3B">
        <w:t xml:space="preserve"> </w:t>
      </w:r>
      <w:r>
        <w:t xml:space="preserve">This means being able to demonstrate both a general understanding of the risks affecting children and young people in the area and a </w:t>
      </w:r>
      <w:r>
        <w:lastRenderedPageBreak/>
        <w:t>specific understanding of how to identify individual children who may be at risk of radicalisation and what to do to support them.</w:t>
      </w:r>
      <w:r w:rsidR="000E6E3B">
        <w:t xml:space="preserve"> </w:t>
      </w:r>
    </w:p>
    <w:p w:rsidR="00A11BA9" w:rsidRDefault="00A11BA9" w:rsidP="00A11BA9">
      <w:r>
        <w:t>The general risks affecting children and young people may vary from area to area, and according to their age.</w:t>
      </w:r>
      <w:r w:rsidR="000E6E3B">
        <w:t xml:space="preserve"> </w:t>
      </w:r>
      <w:r>
        <w:t>Schools and childcare providers are in an important position to identify risks within a given local context. It is important that schools and childcare providers understand these risks so that they can respond in an appropriate and proportionate way.</w:t>
      </w:r>
      <w:r w:rsidR="000E6E3B">
        <w:t xml:space="preserve"> </w:t>
      </w:r>
      <w:r>
        <w:t>At the same time schools and childcare providers should be aware of the increased risk of online radicalisation, as terrorist organisations such as ISIL seek to radicalise young people through the use of social media and the internet.</w:t>
      </w:r>
      <w:r w:rsidR="000E6E3B">
        <w:t xml:space="preserve"> </w:t>
      </w:r>
      <w:r>
        <w:t>The local authority and local police will be able to provide contextual information to help schools and childcare providers understand the risks in their areas.</w:t>
      </w:r>
    </w:p>
    <w:p w:rsidR="00A11BA9" w:rsidRDefault="00A11BA9" w:rsidP="00D247EB">
      <w:r>
        <w:t>There is no single way of identifying an individual who is likely to be susceptible to a terrorist ideology.</w:t>
      </w:r>
      <w:r w:rsidR="000E6E3B">
        <w:t xml:space="preserve"> </w:t>
      </w:r>
      <w:r w:rsidR="00D247EB">
        <w:t>As with managing other safeguarding risks, staff should be alert to changes in children’s behaviour which could indicate that they may be in need of help or protection.</w:t>
      </w:r>
      <w:r w:rsidR="00571952">
        <w:t xml:space="preserve"> </w:t>
      </w:r>
      <w:r>
        <w:t>Children at risk of radicalisation may display different signs or</w:t>
      </w:r>
      <w:r w:rsidR="00D247EB">
        <w:t xml:space="preserve"> seek to</w:t>
      </w:r>
      <w:r>
        <w:t xml:space="preserve"> hide their views. School staff should use their professional judgement in identifying children who might be at risk of radicalisation and act proportionately.</w:t>
      </w:r>
    </w:p>
    <w:p w:rsidR="00A11BA9" w:rsidRDefault="00A11BA9" w:rsidP="00A11BA9">
      <w:r>
        <w:t>Even very young children may be vulnerable to radicalisation by others, whether in the family or outside</w:t>
      </w:r>
      <w:r w:rsidR="00D247EB">
        <w:t>, and display concerning behaviour</w:t>
      </w:r>
      <w:r>
        <w:t>.</w:t>
      </w:r>
      <w:r w:rsidR="000E6E3B">
        <w:t xml:space="preserve"> </w:t>
      </w:r>
      <w:r>
        <w:t>The Prevent duty does not require teachers or childcare</w:t>
      </w:r>
      <w:r w:rsidR="000D2291">
        <w:t xml:space="preserve"> providers</w:t>
      </w:r>
      <w:r>
        <w:t xml:space="preserve"> to carry out unnecessary intrusion into family life but</w:t>
      </w:r>
      <w:r w:rsidR="00A00D01">
        <w:t xml:space="preserve"> as with any other safeguarding risk,</w:t>
      </w:r>
      <w:r>
        <w:t xml:space="preserve"> they must take action when they observe behaviour of concern.</w:t>
      </w:r>
    </w:p>
    <w:p w:rsidR="00A11BA9" w:rsidRDefault="00A11BA9" w:rsidP="00A11BA9">
      <w:r>
        <w:t>Schools and childcare providers should have clear procedures in place for protecting children at risk of radicalisation.</w:t>
      </w:r>
      <w:r w:rsidR="000E6E3B">
        <w:t xml:space="preserve"> </w:t>
      </w:r>
      <w:r>
        <w:t>These procedures may be set out in existing safeguarding policies.</w:t>
      </w:r>
      <w:r w:rsidR="000E6E3B">
        <w:t xml:space="preserve"> </w:t>
      </w:r>
      <w:r>
        <w:t>It is not necessary for schools and childcare settings to have distinct policies on implementing the Prevent duty.</w:t>
      </w:r>
      <w:r w:rsidR="000E6E3B">
        <w:t xml:space="preserve"> </w:t>
      </w:r>
      <w:r>
        <w:t xml:space="preserve">General safeguarding principles apply to keeping children safe from the risk of radicalisation as set out in the relevant statutory guidance, </w:t>
      </w:r>
      <w:hyperlink r:id="rId16" w:history="1">
        <w:r w:rsidRPr="00B35061">
          <w:rPr>
            <w:rStyle w:val="Hyperlink"/>
          </w:rPr>
          <w:t>Working together to safeguard children</w:t>
        </w:r>
      </w:hyperlink>
      <w:r>
        <w:t xml:space="preserve">  and </w:t>
      </w:r>
      <w:hyperlink r:id="rId17" w:history="1">
        <w:r w:rsidRPr="00B35061">
          <w:rPr>
            <w:rStyle w:val="Hyperlink"/>
          </w:rPr>
          <w:t>Keeping children safe in education</w:t>
        </w:r>
      </w:hyperlink>
      <w:r>
        <w:t>.</w:t>
      </w:r>
    </w:p>
    <w:p w:rsidR="00A11BA9" w:rsidRDefault="00A11BA9" w:rsidP="00A11BA9">
      <w:r>
        <w:t>School staff and childcare providers should understand when it is appropriate to make a referral to the Channel programme.</w:t>
      </w:r>
      <w:r w:rsidR="000E6E3B">
        <w:t xml:space="preserve"> </w:t>
      </w:r>
      <w:r>
        <w:t xml:space="preserve">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 An individual’s engagement with the programme is entirely voluntary at all stages. </w:t>
      </w:r>
      <w:hyperlink r:id="rId18" w:history="1">
        <w:r w:rsidRPr="00705D1E">
          <w:rPr>
            <w:rStyle w:val="Hyperlink"/>
          </w:rPr>
          <w:t>Detailed guidance on Channel is available</w:t>
        </w:r>
      </w:hyperlink>
      <w:r>
        <w:t>.</w:t>
      </w:r>
      <w:r w:rsidR="000E6E3B">
        <w:t xml:space="preserve"> </w:t>
      </w:r>
    </w:p>
    <w:p w:rsidR="00A11BA9" w:rsidRDefault="00A11BA9" w:rsidP="00A11BA9">
      <w:r>
        <w:t xml:space="preserve">An </w:t>
      </w:r>
      <w:hyperlink r:id="rId19" w:history="1">
        <w:r w:rsidRPr="00705D1E">
          <w:rPr>
            <w:rStyle w:val="Hyperlink"/>
          </w:rPr>
          <w:t>online general awareness training module on Channel is available</w:t>
        </w:r>
      </w:hyperlink>
      <w:r>
        <w:t>.</w:t>
      </w:r>
      <w:r w:rsidR="000E6E3B">
        <w:t xml:space="preserve"> </w:t>
      </w:r>
      <w:r>
        <w:t>The module is suitable for school staff and other front-line workers.</w:t>
      </w:r>
      <w:r w:rsidR="000E6E3B">
        <w:t xml:space="preserve"> </w:t>
      </w:r>
      <w:r>
        <w:t xml:space="preserve">It provides an introduction to the topics covered by this advice, including how to identify factors that can make people </w:t>
      </w:r>
      <w:r>
        <w:lastRenderedPageBreak/>
        <w:t>vulnerable to radicalisation, and case studies illustrating the types of intervention that may be appropriate, in addition to Channel. </w:t>
      </w:r>
    </w:p>
    <w:p w:rsidR="00A11BA9" w:rsidRDefault="00A11BA9" w:rsidP="00A11BA9">
      <w:pPr>
        <w:pStyle w:val="Heading2"/>
      </w:pPr>
      <w:bookmarkStart w:id="51" w:name="_Toc422754279"/>
      <w:r>
        <w:t>Working in partnership</w:t>
      </w:r>
      <w:bookmarkEnd w:id="51"/>
    </w:p>
    <w:p w:rsidR="00A11BA9" w:rsidRDefault="00A11BA9" w:rsidP="00A11BA9">
      <w:r>
        <w:t>The Prevent duty builds on existing local partnership arrangements.</w:t>
      </w:r>
      <w:r w:rsidR="000E6E3B">
        <w:t xml:space="preserve"> </w:t>
      </w:r>
      <w:r>
        <w:t>Local Safeguarding Children Boards (LSCBs) are responsible for co-ordinat</w:t>
      </w:r>
      <w:r w:rsidR="007772AC">
        <w:t>ing</w:t>
      </w:r>
      <w:r>
        <w:t xml:space="preserve"> what is done by local agencies for the purposes of safeguarding and promoting the welfare of children in their local area.</w:t>
      </w:r>
      <w:r w:rsidR="000E6E3B">
        <w:t xml:space="preserve"> </w:t>
      </w:r>
      <w:r>
        <w:t>Safeguarding arrangements should already take into account the policies and procedures of the LSCB.</w:t>
      </w:r>
      <w:r w:rsidR="000E6E3B">
        <w:t xml:space="preserve"> </w:t>
      </w:r>
      <w:r>
        <w:t>For example, LSCBs publish threshold guidance indicating when a child or young person might be referred for support.</w:t>
      </w:r>
      <w:r w:rsidR="000E6E3B">
        <w:t xml:space="preserve"> </w:t>
      </w:r>
    </w:p>
    <w:p w:rsidR="00A11BA9" w:rsidRDefault="00A11BA9" w:rsidP="00A11BA9">
      <w:r>
        <w:t>Local authorities are vital to all aspects of Prevent work.</w:t>
      </w:r>
      <w:r w:rsidR="000E6E3B">
        <w:t xml:space="preserve"> </w:t>
      </w:r>
      <w:r>
        <w:t>In some priority local authority areas, Home Office fund dedicated Prevent co-ordinators to work with communities and organisations, including schools.</w:t>
      </w:r>
      <w:r w:rsidR="000E6E3B">
        <w:t xml:space="preserve"> </w:t>
      </w:r>
      <w:r>
        <w:t>Other partners, in particular the police and also civil society organisations, may be able to provide advice and support to schools on implementing the duty.</w:t>
      </w:r>
    </w:p>
    <w:p w:rsidR="00A11BA9" w:rsidRDefault="00A11BA9" w:rsidP="00A11BA9">
      <w:r>
        <w:t>Effective engagement with parents / the family is also important as they are in a key position to spot signs of radicalisation. It is important to assist and advise families who raise concerns and be able to point them to the right support mechanisms.</w:t>
      </w:r>
    </w:p>
    <w:p w:rsidR="00A11BA9" w:rsidRDefault="00A11BA9" w:rsidP="00A11BA9">
      <w:pPr>
        <w:pStyle w:val="Heading2"/>
      </w:pPr>
      <w:bookmarkStart w:id="52" w:name="_Toc422754280"/>
      <w:r>
        <w:t>Staff training</w:t>
      </w:r>
      <w:bookmarkEnd w:id="52"/>
    </w:p>
    <w:p w:rsidR="00A11BA9" w:rsidRDefault="00A11BA9" w:rsidP="00A11BA9">
      <w:r>
        <w:t>The statutory guidance refers to the importance of Prevent awareness training to equip staff to identify children at risk of being drawn into terrorism and to challenge extremist ideas.</w:t>
      </w:r>
      <w:r w:rsidR="000E6E3B">
        <w:t xml:space="preserve"> </w:t>
      </w:r>
      <w:r>
        <w:t>The Home Office has developed a core training product for this purpose – Workshop to Raise Awareness of Prevent (WRAP).</w:t>
      </w:r>
      <w:r w:rsidR="000E6E3B">
        <w:t xml:space="preserve"> </w:t>
      </w:r>
      <w:r w:rsidR="007772AC" w:rsidRPr="007772AC">
        <w:t>There are a number of professionals – particularly in safeguarding roles - working within Local Authorities, the Police, Health and Higher and Further Education who are accredited WRAP trained facilitators</w:t>
      </w:r>
      <w:r>
        <w:t>.</w:t>
      </w:r>
      <w:r w:rsidR="000E6E3B">
        <w:t xml:space="preserve"> </w:t>
      </w:r>
      <w:r>
        <w:t>We are working to build capacity within the system to deliver training.</w:t>
      </w:r>
    </w:p>
    <w:p w:rsidR="00A11BA9" w:rsidRDefault="00A11BA9" w:rsidP="00A11BA9">
      <w:r>
        <w:t>Individual schools and childcare providers are best placed to assess their training needs in the light of their assessment of the risk.</w:t>
      </w:r>
      <w:r w:rsidR="000E6E3B">
        <w:t xml:space="preserve"> </w:t>
      </w:r>
      <w:r>
        <w:t xml:space="preserve">As a minimum, however, schools should ensure that the Designated Safeguarding Lead undertakes Prevent awareness training and is able to provide advice and support to other members of staff on protecting children from the risk of radicalisation. We recognise that it can be more difficult for many childcare providers, such as childminders, to attend training and we are considering other ways </w:t>
      </w:r>
      <w:r w:rsidR="006E61E6">
        <w:t xml:space="preserve">in which </w:t>
      </w:r>
      <w:r>
        <w:t xml:space="preserve">they can increase their awareness and be able to demonstrate that. This </w:t>
      </w:r>
      <w:r w:rsidR="006B5675">
        <w:t>advice</w:t>
      </w:r>
      <w:r>
        <w:t xml:space="preserve"> is one way of raising childcare providers’ awareness.</w:t>
      </w:r>
    </w:p>
    <w:p w:rsidR="00A11BA9" w:rsidRDefault="00A11BA9" w:rsidP="00A11BA9">
      <w:pPr>
        <w:pStyle w:val="Heading2"/>
      </w:pPr>
      <w:bookmarkStart w:id="53" w:name="_Toc422754281"/>
      <w:r>
        <w:lastRenderedPageBreak/>
        <w:t>IT policies</w:t>
      </w:r>
      <w:bookmarkEnd w:id="53"/>
    </w:p>
    <w:p w:rsidR="00A11BA9" w:rsidRDefault="00A11BA9" w:rsidP="00A11BA9">
      <w:r>
        <w:t>The statutory guidance makes clear the need for schools to ensure that children are safe from terrorist and extremist material when accessing the internet in schools.</w:t>
      </w:r>
      <w:r w:rsidR="000E6E3B">
        <w:t xml:space="preserve"> </w:t>
      </w:r>
      <w:r>
        <w:t>Schools should ensure that suitable filtering is in place.</w:t>
      </w:r>
    </w:p>
    <w:p w:rsidR="00A11BA9" w:rsidRDefault="00A11BA9" w:rsidP="00A11BA9">
      <w:r>
        <w:t>More generally, schools have an important role to play in equipping children and young people to stay safe online, both in school and outside.</w:t>
      </w:r>
      <w:r w:rsidR="000E6E3B">
        <w:t xml:space="preserve"> </w:t>
      </w:r>
      <w:r>
        <w:t>Internet safety will usually be integral to a school’s ICT curriculum and can also be embedded in PSHE and SRE.</w:t>
      </w:r>
      <w:r w:rsidR="000E6E3B">
        <w:t xml:space="preserve"> </w:t>
      </w:r>
      <w:r>
        <w:t xml:space="preserve">General advice and resources for schools on internet safety are available on the </w:t>
      </w:r>
      <w:hyperlink r:id="rId20" w:history="1">
        <w:r w:rsidRPr="00705D1E">
          <w:rPr>
            <w:rStyle w:val="Hyperlink"/>
          </w:rPr>
          <w:t>UK Safer Internet Centre website</w:t>
        </w:r>
      </w:hyperlink>
      <w:r>
        <w:t>.</w:t>
      </w:r>
    </w:p>
    <w:p w:rsidR="00A11BA9" w:rsidRDefault="00A11BA9" w:rsidP="00A11BA9">
      <w:r>
        <w:t xml:space="preserve">As with other online </w:t>
      </w:r>
      <w:r w:rsidR="005D6675">
        <w:t>risks of harm</w:t>
      </w:r>
      <w:r>
        <w:t>, every teacher needs to be aware of the risks posed by the online activity of extremist and terrorist groups.</w:t>
      </w:r>
      <w:r w:rsidR="000E6E3B">
        <w:t xml:space="preserve"> </w:t>
      </w:r>
    </w:p>
    <w:p w:rsidR="00A11BA9" w:rsidRDefault="00A11BA9" w:rsidP="004A381A">
      <w:pPr>
        <w:pStyle w:val="Heading2"/>
      </w:pPr>
      <w:bookmarkStart w:id="54" w:name="_Toc422754282"/>
      <w:r>
        <w:t>Building children’s resilience to radicalisation</w:t>
      </w:r>
      <w:bookmarkEnd w:id="54"/>
    </w:p>
    <w:p w:rsidR="00A11BA9" w:rsidRDefault="00A11BA9" w:rsidP="00A11BA9">
      <w:r>
        <w:t>As explained above, schools can build pupils’ resilience to radicalisation by providing a safe environment for debating controversial issues and helping them to understand how they can influence and participate in decision-making.</w:t>
      </w:r>
      <w:r w:rsidR="000E6E3B">
        <w:t xml:space="preserve"> </w:t>
      </w:r>
      <w:r w:rsidR="009F2FF2">
        <w:t>S</w:t>
      </w:r>
      <w:r>
        <w:t xml:space="preserve">chools are already </w:t>
      </w:r>
      <w:r w:rsidR="006B5675">
        <w:t xml:space="preserve">expected </w:t>
      </w:r>
      <w:r>
        <w:t>to promote the spiritual, moral, social and cultural development of pupils and, within this,</w:t>
      </w:r>
      <w:r w:rsidR="000E6E3B">
        <w:t xml:space="preserve"> </w:t>
      </w:r>
      <w:r>
        <w:t>fundamental British</w:t>
      </w:r>
      <w:r w:rsidR="000E6E3B">
        <w:t xml:space="preserve"> </w:t>
      </w:r>
      <w:r>
        <w:t>values.</w:t>
      </w:r>
      <w:r w:rsidR="000E6E3B">
        <w:t xml:space="preserve"> </w:t>
      </w:r>
      <w:hyperlink r:id="rId21" w:history="1">
        <w:r w:rsidRPr="00705D1E">
          <w:rPr>
            <w:rStyle w:val="Hyperlink"/>
          </w:rPr>
          <w:t>Advice on promoting fundamental British values in schools is available</w:t>
        </w:r>
      </w:hyperlink>
      <w:r>
        <w:t>.</w:t>
      </w:r>
    </w:p>
    <w:p w:rsidR="00957EAD" w:rsidRDefault="0069596F" w:rsidP="00A11BA9">
      <w:r w:rsidRPr="0069596F">
        <w:t>P</w:t>
      </w:r>
      <w:r w:rsidR="00957EAD">
        <w:t xml:space="preserve">ersonal, </w:t>
      </w:r>
      <w:r w:rsidRPr="0069596F">
        <w:t>S</w:t>
      </w:r>
      <w:r w:rsidR="00957EAD">
        <w:t xml:space="preserve">ocial and </w:t>
      </w:r>
      <w:r w:rsidRPr="0069596F">
        <w:t>H</w:t>
      </w:r>
      <w:r w:rsidR="00957EAD">
        <w:t xml:space="preserve">ealth </w:t>
      </w:r>
      <w:r w:rsidRPr="0069596F">
        <w:t>Education</w:t>
      </w:r>
      <w:r w:rsidR="00957EAD">
        <w:t xml:space="preserve"> (PSHE)</w:t>
      </w:r>
      <w:r w:rsidRPr="0069596F">
        <w:t xml:space="preserve"> can be an effective way of providing pupils with time to explore sensitive or controversial issues, and equipping them with the knowledge and skills to understand and manage difficult situations. The subject can be used to teach pupils to recognise and manage risk, make safer choices, and recognise when pressure from others threatens their personal safety and wellbeing. They can also develop effective ways of resisting pressures, including knowing when, where and how to get help. Schools can encourage pupils to develop positive character traits through PSHE, such as resilience, determination, self-esteem, and confidence.</w:t>
      </w:r>
      <w:r w:rsidR="00957EAD" w:rsidRPr="00957EAD">
        <w:t xml:space="preserve"> </w:t>
      </w:r>
    </w:p>
    <w:p w:rsidR="00A11BA9" w:rsidRDefault="00957EAD" w:rsidP="00A11BA9">
      <w:r w:rsidRPr="00957EAD">
        <w:t>Citizenship</w:t>
      </w:r>
      <w:r w:rsidR="009E08EE">
        <w:t xml:space="preserve"> </w:t>
      </w:r>
      <w:r w:rsidRPr="00957EAD">
        <w:t>helps to provide pupils with the knowledge, skills and understanding to prepare them to play a full and active part in society. It should equip pupils to explore political and social issues critically, to weigh evidence, to debate, and to make reasoned arguments. In Citizenship, pupils learn about democracy, government and how laws are made and upheld. Pupils are also taught about the diverse national, regional, religious and ethnic identities in the United Kingdom and the need for mutual respect and understanding.</w:t>
      </w:r>
      <w:r>
        <w:t xml:space="preserve"> </w:t>
      </w:r>
      <w:r w:rsidR="00A11BA9">
        <w:t>A number of resources are available to support schools in this work.</w:t>
      </w:r>
      <w:r w:rsidR="000E6E3B">
        <w:t xml:space="preserve"> </w:t>
      </w:r>
      <w:r w:rsidR="00A11BA9">
        <w:t>These include products aimed at giving teachers the confidence to manage debates about contentious issues and to help them develop their pupils’ critical thinking skills.</w:t>
      </w:r>
      <w:r w:rsidR="00226355" w:rsidRPr="00226355">
        <w:t xml:space="preserve"> Local authorities and the local police may be able to advise on the resources which are available. In some cases these resources may be charged for, particularly where they are </w:t>
      </w:r>
      <w:r w:rsidR="00226355" w:rsidRPr="00226355">
        <w:lastRenderedPageBreak/>
        <w:t>delivered by external facilitators. As with any other resources for use in the classroom, schools should satisfy themselves that they are suitable for pupils (for example in terms of their age appropriateness) and that staff have the knowledge and confidence to use the resources effectively.</w:t>
      </w:r>
      <w:r w:rsidR="00226355">
        <w:t xml:space="preserve"> </w:t>
      </w:r>
      <w:r w:rsidR="00A11BA9">
        <w:t xml:space="preserve">For childcare providers our </w:t>
      </w:r>
      <w:r w:rsidR="0029273A">
        <w:t>s</w:t>
      </w:r>
      <w:r w:rsidR="00A11BA9">
        <w:t xml:space="preserve">trategic </w:t>
      </w:r>
      <w:r w:rsidR="0029273A">
        <w:t>p</w:t>
      </w:r>
      <w:r w:rsidR="00A11BA9">
        <w:t xml:space="preserve">artner, 4Children, have published the following </w:t>
      </w:r>
      <w:hyperlink r:id="rId22" w:history="1">
        <w:r w:rsidR="00A11BA9" w:rsidRPr="00226355">
          <w:rPr>
            <w:rStyle w:val="Hyperlink"/>
          </w:rPr>
          <w:t>good practice examples demonstrating what promoting fundamental British Values means in the early years</w:t>
        </w:r>
      </w:hyperlink>
      <w:r w:rsidR="00A11BA9">
        <w:t xml:space="preserve">. </w:t>
      </w:r>
    </w:p>
    <w:p w:rsidR="00BC4F52" w:rsidRDefault="00BC4F52" w:rsidP="00A11BA9">
      <w:r>
        <w:t>The Department will be providing further advice on resources for schools.</w:t>
      </w:r>
    </w:p>
    <w:p w:rsidR="00A11BA9" w:rsidRDefault="00A11BA9" w:rsidP="00705D1E">
      <w:pPr>
        <w:pStyle w:val="Heading1"/>
      </w:pPr>
      <w:bookmarkStart w:id="55" w:name="_Toc422754283"/>
      <w:r>
        <w:lastRenderedPageBreak/>
        <w:t>What to do if you have a concern</w:t>
      </w:r>
      <w:bookmarkEnd w:id="55"/>
    </w:p>
    <w:p w:rsidR="00A11BA9" w:rsidRDefault="00A11BA9" w:rsidP="00A11BA9">
      <w:r>
        <w:t>As explained above, if a member of staff in a school has a concern about a particular pupil they should follow the school’s normal safeguarding procedures, including</w:t>
      </w:r>
      <w:r w:rsidR="000E6E3B">
        <w:t xml:space="preserve"> </w:t>
      </w:r>
      <w:r>
        <w:t xml:space="preserve">discussing with the school’s designated safeguarding lead, and where deemed necessary, with </w:t>
      </w:r>
      <w:r w:rsidR="002D12FB">
        <w:t>children’s social care</w:t>
      </w:r>
      <w:r>
        <w:t>.</w:t>
      </w:r>
      <w:r w:rsidR="000E6E3B">
        <w:t xml:space="preserve"> </w:t>
      </w:r>
      <w:r>
        <w:t>In Prevent priority areas, the local authority will have a Prevent lead who can also provide support.</w:t>
      </w:r>
    </w:p>
    <w:p w:rsidR="00A11BA9" w:rsidRDefault="00A11BA9" w:rsidP="00A11BA9">
      <w:r>
        <w:t>You can also contact your local police force or dial 101 (the non-emergency number).</w:t>
      </w:r>
      <w:r w:rsidR="000E6E3B">
        <w:t xml:space="preserve"> </w:t>
      </w:r>
      <w:r>
        <w:t>They can talk to you in confidence about your concerns and help you gain access to support and advice.</w:t>
      </w:r>
    </w:p>
    <w:p w:rsidR="00126AD0" w:rsidRPr="00126AD0" w:rsidRDefault="00A11BA9" w:rsidP="00A11BA9">
      <w:r>
        <w:t xml:space="preserve">The Department for Education has dedicated </w:t>
      </w:r>
      <w:r w:rsidR="00705D1E">
        <w:t xml:space="preserve">a </w:t>
      </w:r>
      <w:r>
        <w:t>telephone helpline (020 7340 7264) to enable staff and governors to raise concerns relating to extremism</w:t>
      </w:r>
      <w:r w:rsidR="009E08EE">
        <w:t xml:space="preserve"> directly</w:t>
      </w:r>
      <w:r>
        <w:t>.</w:t>
      </w:r>
      <w:r w:rsidR="000E6E3B">
        <w:t xml:space="preserve"> </w:t>
      </w:r>
      <w:r>
        <w:t>Concerns can also be raised by email to counter.extremism@education.gsi.gov.uk.</w:t>
      </w:r>
      <w:r w:rsidR="000E6E3B">
        <w:t xml:space="preserve"> </w:t>
      </w:r>
      <w:r>
        <w:t xml:space="preserve">Please note that the helpline is not intended for use </w:t>
      </w:r>
      <w:r w:rsidR="009A5F16">
        <w:t xml:space="preserve">in </w:t>
      </w:r>
      <w:r>
        <w:t>emergency situations, such as a child being at immediate risk of harm or a security incident, in which case the normal emergency procedures should be followed.</w:t>
      </w:r>
    </w:p>
    <w:p w:rsidR="005C4DCE" w:rsidRDefault="005C4DCE">
      <w:pPr>
        <w:spacing w:after="0" w:line="240" w:lineRule="auto"/>
      </w:pPr>
      <w:bookmarkStart w:id="56" w:name="_Toc338167836"/>
      <w:bookmarkStart w:id="57" w:name="_Toc364235714"/>
      <w:bookmarkStart w:id="58" w:name="_Toc364235759"/>
      <w:bookmarkStart w:id="59" w:name="_Toc338161750"/>
      <w:bookmarkEnd w:id="43"/>
      <w:bookmarkEnd w:id="44"/>
      <w:bookmarkEnd w:id="45"/>
      <w:bookmarkEnd w:id="46"/>
      <w:bookmarkEnd w:id="47"/>
      <w:bookmarkEnd w:id="48"/>
      <w:r>
        <w:br w:type="page"/>
      </w:r>
    </w:p>
    <w:bookmarkEnd w:id="56"/>
    <w:bookmarkEnd w:id="57"/>
    <w:bookmarkEnd w:id="58"/>
    <w:bookmarkEnd w:id="59"/>
    <w:p w:rsidR="00FB7377" w:rsidRDefault="00FB7377" w:rsidP="00FB7377">
      <w:pPr>
        <w:pStyle w:val="Logos"/>
        <w:tabs>
          <w:tab w:val="right" w:pos="9498"/>
        </w:tabs>
      </w:pPr>
      <w:r>
        <w:lastRenderedPageBreak/>
        <w:drawing>
          <wp:inline distT="0" distB="0" distL="0" distR="0">
            <wp:extent cx="1340485" cy="1080770"/>
            <wp:effectExtent l="0" t="0" r="0" b="0"/>
            <wp:docPr id="14" name="Picture 14" descr="Department for Education"/>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rsidR="00CD6F4A" w:rsidRPr="00531385" w:rsidRDefault="000804EC" w:rsidP="00531385">
      <w:pPr>
        <w:pStyle w:val="CopyrightSpacing"/>
      </w:pPr>
      <w:r>
        <w:t xml:space="preserve">© Crown copyright </w:t>
      </w:r>
      <w:r w:rsidR="00491D49">
        <w:t>2015</w:t>
      </w:r>
    </w:p>
    <w:p w:rsidR="00CD6F4A" w:rsidRPr="00E739DD" w:rsidRDefault="00667A56" w:rsidP="00E739DD">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rsidR="00CD6F4A" w:rsidRDefault="00B17EE1" w:rsidP="00CD6F4A">
      <w:pPr>
        <w:pStyle w:val="LicenceIntro"/>
      </w:pPr>
      <w:r>
        <w:t xml:space="preserve">To view </w:t>
      </w:r>
      <w:r w:rsidR="00CD6F4A">
        <w:t xml:space="preserve">this licence: </w:t>
      </w:r>
    </w:p>
    <w:p w:rsidR="00CD6F4A" w:rsidRDefault="00CD6F4A" w:rsidP="00CD6F4A">
      <w:pPr>
        <w:pStyle w:val="Licence"/>
        <w:rPr>
          <w:rStyle w:val="Hyperlink"/>
        </w:rPr>
      </w:pPr>
      <w:r>
        <w:t xml:space="preserve">visit </w:t>
      </w:r>
      <w:r>
        <w:tab/>
      </w:r>
      <w:hyperlink r:id="rId23" w:tooltip="Visit the national archives licencing information" w:history="1">
        <w:r w:rsidR="00495FA5">
          <w:rPr>
            <w:rStyle w:val="Hyperlink"/>
          </w:rPr>
          <w:t>www.nationalarchives.gov.uk/doc/open-government-licence/version/3</w:t>
        </w:r>
      </w:hyperlink>
      <w:hyperlink r:id="rId24" w:tooltip="Visit the national archives licencing information" w:history="1"/>
      <w:r>
        <w:rPr>
          <w:rStyle w:val="Hyperlink"/>
        </w:rPr>
        <w:t xml:space="preserve"> </w:t>
      </w:r>
    </w:p>
    <w:p w:rsidR="00667A56" w:rsidRDefault="00CD6F4A" w:rsidP="00CD6F4A">
      <w:pPr>
        <w:pStyle w:val="Licence"/>
        <w:rPr>
          <w:rStyle w:val="Hyperlink"/>
        </w:rPr>
      </w:pPr>
      <w:r>
        <w:t xml:space="preserve">email </w:t>
      </w:r>
      <w:r>
        <w:tab/>
      </w:r>
      <w:hyperlink r:id="rId25" w:tooltip="The National Archives' email address" w:history="1">
        <w:r>
          <w:rPr>
            <w:rStyle w:val="Hyperlink"/>
          </w:rPr>
          <w:t>psi@nationalarchives.gsi.gov.uk</w:t>
        </w:r>
      </w:hyperlink>
    </w:p>
    <w:p w:rsidR="00667A56" w:rsidRDefault="00667A56" w:rsidP="00CD6F4A">
      <w:pPr>
        <w:pStyle w:val="Licence"/>
        <w:rPr>
          <w:rStyle w:val="Hyperlink"/>
        </w:rPr>
      </w:pPr>
      <w:r>
        <w:t>write to</w:t>
      </w:r>
      <w:r>
        <w:tab/>
        <w:t>Information Policy Team, The National Archives, Kew, London, TW9 4DU</w:t>
      </w:r>
    </w:p>
    <w:p w:rsidR="00CD6F4A" w:rsidRDefault="00CD6F4A" w:rsidP="00CD6F4A">
      <w:pPr>
        <w:pStyle w:val="LicenceIntro"/>
      </w:pPr>
      <w:r>
        <w:t xml:space="preserve">About this publication: </w:t>
      </w:r>
    </w:p>
    <w:p w:rsidR="00CD6F4A" w:rsidRDefault="00CD6F4A" w:rsidP="00CD6F4A">
      <w:pPr>
        <w:pStyle w:val="Licence"/>
        <w:rPr>
          <w:rStyle w:val="Hyperlink"/>
        </w:rPr>
      </w:pPr>
      <w:r>
        <w:t>enquir</w:t>
      </w:r>
      <w:r w:rsidR="00EA250A">
        <w:t>i</w:t>
      </w:r>
      <w:r>
        <w:t>es</w:t>
      </w:r>
      <w:r w:rsidR="000E6E3B">
        <w:t xml:space="preserve"> </w:t>
      </w:r>
      <w:r>
        <w:tab/>
      </w:r>
      <w:hyperlink r:id="rId26" w:tooltip="Department for Education contact us list" w:history="1">
        <w:r>
          <w:rPr>
            <w:rStyle w:val="Hyperlink"/>
          </w:rPr>
          <w:t>www.education.gov.uk/contactus</w:t>
        </w:r>
      </w:hyperlink>
      <w:r>
        <w:rPr>
          <w:rStyle w:val="Hyperlink"/>
        </w:rPr>
        <w:t xml:space="preserve"> </w:t>
      </w:r>
    </w:p>
    <w:p w:rsidR="00CD6F4A" w:rsidRPr="0027512F" w:rsidRDefault="00CD6F4A" w:rsidP="0027512F">
      <w:pPr>
        <w:pStyle w:val="Licence"/>
        <w:rPr>
          <w:rStyle w:val="Hyperlink"/>
        </w:rPr>
      </w:pPr>
      <w:r w:rsidRPr="00CD6F4A">
        <w:t>d</w:t>
      </w:r>
      <w:r>
        <w:t xml:space="preserve">ownload </w:t>
      </w:r>
      <w:r>
        <w:tab/>
      </w:r>
      <w:hyperlink r:id="rId27" w:tooltip="Link to GOV.UK publications page" w:history="1">
        <w:r w:rsidR="00CB3708" w:rsidRPr="007201CA">
          <w:rPr>
            <w:rStyle w:val="Hyperlink"/>
          </w:rPr>
          <w:t>www.gov.uk/government/publications</w:t>
        </w:r>
      </w:hyperlink>
    </w:p>
    <w:p w:rsidR="00CD6F4A" w:rsidRPr="002B7B02" w:rsidRDefault="00CD6F4A" w:rsidP="002B7B02">
      <w:pPr>
        <w:pStyle w:val="Reference"/>
      </w:pPr>
      <w:r w:rsidRPr="002B7B02">
        <w:t xml:space="preserve">Reference: </w:t>
      </w:r>
      <w:r w:rsidRPr="002B7B02">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5"/>
        <w:gridCol w:w="935"/>
        <w:gridCol w:w="3459"/>
      </w:tblGrid>
      <w:tr w:rsidR="00FD0B05" w:rsidRPr="00E1471D" w:rsidTr="00B750AA">
        <w:trPr>
          <w:tblHeader/>
        </w:trPr>
        <w:tc>
          <w:tcPr>
            <w:tcW w:w="1276" w:type="dxa"/>
          </w:tcPr>
          <w:p w:rsidR="00FD0B05" w:rsidRPr="00E1471D" w:rsidRDefault="00FD0B05" w:rsidP="00B750AA">
            <w:pPr>
              <w:pStyle w:val="SocialMedia"/>
              <w:tabs>
                <w:tab w:val="left" w:pos="176"/>
              </w:tabs>
            </w:pPr>
            <w:r>
              <w:tab/>
            </w:r>
            <w:r w:rsidRPr="00E1471D">
              <w:rPr>
                <w:noProof/>
              </w:rPr>
              <w:drawing>
                <wp:inline distT="0" distB="0" distL="0" distR="0">
                  <wp:extent cx="338400" cy="273600"/>
                  <wp:effectExtent l="0" t="0" r="5080" b="0"/>
                  <wp:docPr id="5" name="Picture 5"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38400" cy="273600"/>
                          </a:xfrm>
                          <a:prstGeom prst="rect">
                            <a:avLst/>
                          </a:prstGeom>
                        </pic:spPr>
                      </pic:pic>
                    </a:graphicData>
                  </a:graphic>
                </wp:inline>
              </w:drawing>
            </w:r>
          </w:p>
        </w:tc>
        <w:tc>
          <w:tcPr>
            <w:tcW w:w="2835" w:type="dxa"/>
          </w:tcPr>
          <w:p w:rsidR="00FD0B05" w:rsidRPr="00E1471D" w:rsidRDefault="00FD0B05" w:rsidP="00DA39A5">
            <w:pPr>
              <w:pStyle w:val="SocialMedia"/>
            </w:pPr>
            <w:r w:rsidRPr="00E1471D">
              <w:t xml:space="preserve">Follow us on </w:t>
            </w:r>
            <w:r w:rsidR="00DA39A5">
              <w:t>T</w:t>
            </w:r>
            <w:r w:rsidRPr="00E1471D">
              <w:t>witter:</w:t>
            </w:r>
            <w:r w:rsidRPr="003873BA">
              <w:t xml:space="preserve"> </w:t>
            </w:r>
            <w:hyperlink r:id="rId29" w:tooltip="View the DfE Twitter profile page" w:history="1">
              <w:r w:rsidRPr="003873BA">
                <w:rPr>
                  <w:rStyle w:val="Hyperlink"/>
                </w:rPr>
                <w:t>@educationgovuk</w:t>
              </w:r>
            </w:hyperlink>
          </w:p>
        </w:tc>
        <w:tc>
          <w:tcPr>
            <w:tcW w:w="935" w:type="dxa"/>
          </w:tcPr>
          <w:p w:rsidR="00FD0B05" w:rsidRPr="00E1471D" w:rsidRDefault="00FD0B05" w:rsidP="00B750AA">
            <w:pPr>
              <w:pStyle w:val="SocialMedia"/>
            </w:pPr>
            <w:r w:rsidRPr="00E1471D">
              <w:rPr>
                <w:noProof/>
              </w:rPr>
              <w:drawing>
                <wp:inline distT="0" distB="0" distL="0" distR="0">
                  <wp:extent cx="273050" cy="273050"/>
                  <wp:effectExtent l="0" t="0" r="0" b="0"/>
                  <wp:docPr id="6" name="Picture 6"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t_f_logo_l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tcPr>
          <w:p w:rsidR="00FD0B05" w:rsidRPr="00E1471D" w:rsidRDefault="00DA39A5" w:rsidP="00B750AA">
            <w:pPr>
              <w:pStyle w:val="SocialMedia"/>
            </w:pPr>
            <w:r>
              <w:t>Like us on F</w:t>
            </w:r>
            <w:r w:rsidR="00FD0B05" w:rsidRPr="00E1471D">
              <w:t>acebook:</w:t>
            </w:r>
            <w:r w:rsidR="00FD0B05" w:rsidRPr="00E1471D">
              <w:br/>
            </w:r>
            <w:hyperlink r:id="rId31" w:tooltip="Link the DfE on Facebook" w:history="1">
              <w:r w:rsidR="00FD0B05" w:rsidRPr="003873BA">
                <w:rPr>
                  <w:rStyle w:val="Hyperlink"/>
                </w:rPr>
                <w:t>facebook.com/educationgovuk</w:t>
              </w:r>
            </w:hyperlink>
          </w:p>
        </w:tc>
      </w:tr>
    </w:tbl>
    <w:p w:rsidR="00CD6F4A" w:rsidRPr="002944AB" w:rsidRDefault="00CD6F4A" w:rsidP="00CD6F4A"/>
    <w:sectPr w:rsidR="00CD6F4A" w:rsidRPr="002944AB" w:rsidSect="00174C9B">
      <w:footerReference w:type="default" r:id="rId32"/>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5A" w:rsidRDefault="00587F5A" w:rsidP="005C657D">
      <w:pPr>
        <w:spacing w:after="0" w:line="240" w:lineRule="auto"/>
      </w:pPr>
      <w:r>
        <w:separator/>
      </w:r>
    </w:p>
  </w:endnote>
  <w:endnote w:type="continuationSeparator" w:id="0">
    <w:p w:rsidR="00587F5A" w:rsidRDefault="00587F5A" w:rsidP="005C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582540"/>
      <w:docPartObj>
        <w:docPartGallery w:val="Page Numbers (Bottom of Page)"/>
        <w:docPartUnique/>
      </w:docPartObj>
    </w:sdtPr>
    <w:sdtEndPr>
      <w:rPr>
        <w:noProof/>
      </w:rPr>
    </w:sdtEndPr>
    <w:sdtContent>
      <w:p w:rsidR="00401039" w:rsidRDefault="00627C28" w:rsidP="00F96AE1">
        <w:pPr>
          <w:pStyle w:val="Footer"/>
          <w:spacing w:before="240"/>
          <w:jc w:val="center"/>
        </w:pPr>
        <w:r>
          <w:fldChar w:fldCharType="begin"/>
        </w:r>
        <w:r w:rsidR="00401039">
          <w:instrText xml:space="preserve"> PAGE   \* MERGEFORMAT </w:instrText>
        </w:r>
        <w:r>
          <w:fldChar w:fldCharType="separate"/>
        </w:r>
        <w:r w:rsidR="00C934AB">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5A" w:rsidRDefault="00587F5A" w:rsidP="005C657D">
      <w:pPr>
        <w:spacing w:after="0" w:line="240" w:lineRule="auto"/>
      </w:pPr>
      <w:r>
        <w:separator/>
      </w:r>
    </w:p>
  </w:footnote>
  <w:footnote w:type="continuationSeparator" w:id="0">
    <w:p w:rsidR="00587F5A" w:rsidRDefault="00587F5A" w:rsidP="005C657D">
      <w:pPr>
        <w:spacing w:after="0" w:line="240" w:lineRule="auto"/>
      </w:pPr>
      <w:r>
        <w:continuationSeparator/>
      </w:r>
    </w:p>
  </w:footnote>
  <w:footnote w:id="1">
    <w:p w:rsidR="005D6675" w:rsidRPr="00E7772E" w:rsidRDefault="005D6675">
      <w:pPr>
        <w:pStyle w:val="FootnoteText"/>
      </w:pPr>
      <w:r w:rsidRPr="00E7772E">
        <w:rPr>
          <w:rStyle w:val="FootnoteReference"/>
        </w:rPr>
        <w:footnoteRef/>
      </w:r>
      <w:r w:rsidRPr="00E7772E">
        <w:t xml:space="preserve"> Including early years and later years childcare provision in schools that is exempt from registration under the Childcare Act 2006.</w:t>
      </w:r>
    </w:p>
  </w:footnote>
  <w:footnote w:id="2">
    <w:p w:rsidR="00E27826" w:rsidRPr="00E7772E" w:rsidRDefault="00E27826" w:rsidP="00E27826">
      <w:pPr>
        <w:pStyle w:val="FootnoteText"/>
      </w:pPr>
      <w:r w:rsidRPr="00E7772E">
        <w:rPr>
          <w:rStyle w:val="FootnoteReference"/>
        </w:rPr>
        <w:footnoteRef/>
      </w:r>
      <w:r w:rsidRPr="00E7772E">
        <w:t xml:space="preserve"> </w:t>
      </w:r>
      <w:r w:rsidRPr="00E7772E">
        <w:rPr>
          <w:rFonts w:cs="HelveticaNeueLT Std Lt"/>
          <w:color w:val="000000"/>
        </w:rPr>
        <w:t>Those registered under Chapter 2 or 2A of Part 3 of the Childcare Act 2006, including childminders.</w:t>
      </w:r>
    </w:p>
  </w:footnote>
  <w:footnote w:id="3">
    <w:p w:rsidR="00E27826" w:rsidRPr="00E7772E" w:rsidRDefault="00E27826" w:rsidP="00E27826">
      <w:pPr>
        <w:pStyle w:val="FootnoteText"/>
      </w:pPr>
      <w:r w:rsidRPr="00E7772E">
        <w:rPr>
          <w:rStyle w:val="FootnoteReference"/>
        </w:rPr>
        <w:footnoteRef/>
      </w:r>
      <w:r w:rsidRPr="00E7772E">
        <w:t xml:space="preserve"> </w:t>
      </w:r>
      <w:r w:rsidRPr="00E7772E">
        <w:rPr>
          <w:rFonts w:cs="HelveticaNeueLT Std Lt"/>
          <w:color w:val="000000"/>
        </w:rPr>
        <w:t>Those registered under Chapter 3 or 3A of Part 3 of the Childcare Act 2006, including childminders.</w:t>
      </w:r>
    </w:p>
  </w:footnote>
  <w:footnote w:id="4">
    <w:p w:rsidR="00B35061" w:rsidRDefault="00B35061" w:rsidP="00B35061">
      <w:pPr>
        <w:pStyle w:val="FootnoteText"/>
      </w:pPr>
      <w:r w:rsidRPr="00E7772E">
        <w:rPr>
          <w:rStyle w:val="FootnoteReference"/>
        </w:rPr>
        <w:footnoteRef/>
      </w:r>
      <w:r w:rsidRPr="00E7772E">
        <w:t xml:space="preserve"> “Radicalisation” refers to the process by which a person comes to support terrorism and forms of extremism leading to terrorism. During that process it is possible to intervene to prevent vulnerable people being drawn into terrorist-related activity.</w:t>
      </w:r>
      <w:r w:rsidRPr="006A06F5">
        <w:t xml:space="preserve"> </w:t>
      </w:r>
    </w:p>
  </w:footnote>
  <w:footnote w:id="5">
    <w:p w:rsidR="00E7772E" w:rsidRDefault="00E7772E">
      <w:pPr>
        <w:pStyle w:val="FootnoteText"/>
      </w:pPr>
      <w:r>
        <w:rPr>
          <w:rStyle w:val="FootnoteReference"/>
        </w:rPr>
        <w:footnoteRef/>
      </w:r>
      <w:r>
        <w:t xml:space="preserve"> </w:t>
      </w:r>
      <w:r w:rsidR="00D6539D" w:rsidRPr="00D6539D">
        <w:t>“Extremism”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Terrorist groups very often draw on extremist ideas developed by extremist organisations.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3F1D"/>
    <w:multiLevelType w:val="multilevel"/>
    <w:tmpl w:val="0DFA8DC8"/>
    <w:styleLink w:val="NumberedList2"/>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EB0D5F"/>
    <w:multiLevelType w:val="multilevel"/>
    <w:tmpl w:val="A93AAEEE"/>
    <w:lvl w:ilvl="0">
      <w:start w:val="1"/>
      <w:numFmt w:val="decimal"/>
      <w:lvlRestart w:val="0"/>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
    <w:nsid w:val="0F683EB3"/>
    <w:multiLevelType w:val="multilevel"/>
    <w:tmpl w:val="0DFA8DC8"/>
    <w:styleLink w:val="StyleNumberedLeft19cmHanging063cm"/>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276699"/>
    <w:multiLevelType w:val="hybridMultilevel"/>
    <w:tmpl w:val="77CC6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24156A24"/>
    <w:multiLevelType w:val="hybridMultilevel"/>
    <w:tmpl w:val="500E8444"/>
    <w:lvl w:ilvl="0" w:tplc="08090001">
      <w:start w:val="1"/>
      <w:numFmt w:val="bullet"/>
      <w:lvlText w:val=""/>
      <w:lvlJc w:val="left"/>
      <w:pPr>
        <w:ind w:left="720" w:hanging="360"/>
      </w:pPr>
      <w:rPr>
        <w:rFonts w:ascii="Symbol" w:hAnsi="Symbol" w:hint="default"/>
      </w:rPr>
    </w:lvl>
    <w:lvl w:ilvl="1" w:tplc="A3965322">
      <w:start w:val="1"/>
      <w:numFmt w:val="bullet"/>
      <w:pStyle w:val="ListBullet2"/>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9113D6"/>
    <w:multiLevelType w:val="hybridMultilevel"/>
    <w:tmpl w:val="4296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723A24"/>
    <w:multiLevelType w:val="multilevel"/>
    <w:tmpl w:val="D18EBD72"/>
    <w:styleLink w:val="Black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0825CB"/>
    <w:multiLevelType w:val="multilevel"/>
    <w:tmpl w:val="39E8F5CE"/>
    <w:styleLink w:val="Resource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386435"/>
    <w:multiLevelType w:val="multilevel"/>
    <w:tmpl w:val="0DFA8DC8"/>
    <w:styleLink w:val="NumberedList"/>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AF5D15"/>
    <w:multiLevelType w:val="hybridMultilevel"/>
    <w:tmpl w:val="7C3810B2"/>
    <w:lvl w:ilvl="0" w:tplc="4BE2958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nsid w:val="481458DC"/>
    <w:multiLevelType w:val="multilevel"/>
    <w:tmpl w:val="625CC5D8"/>
    <w:styleLink w:val="Level2bulle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3">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83467EB"/>
    <w:multiLevelType w:val="multilevel"/>
    <w:tmpl w:val="2DC43A1A"/>
    <w:styleLink w:val="StyleBulletedSymbolsymbolLeft063cmHanging063cm"/>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A20091A"/>
    <w:multiLevelType w:val="hybridMultilevel"/>
    <w:tmpl w:val="9F286F5C"/>
    <w:lvl w:ilvl="0" w:tplc="B2C6F5B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FEC5240"/>
    <w:multiLevelType w:val="multilevel"/>
    <w:tmpl w:val="6F44E5E8"/>
    <w:lvl w:ilvl="0">
      <w:start w:val="1"/>
      <w:numFmt w:val="decimal"/>
      <w:pStyle w:val="ListParagraph"/>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1"/>
  </w:num>
  <w:num w:numId="4">
    <w:abstractNumId w:val="10"/>
  </w:num>
  <w:num w:numId="5">
    <w:abstractNumId w:val="5"/>
  </w:num>
  <w:num w:numId="6">
    <w:abstractNumId w:val="4"/>
  </w:num>
  <w:num w:numId="7">
    <w:abstractNumId w:val="9"/>
  </w:num>
  <w:num w:numId="8">
    <w:abstractNumId w:val="0"/>
  </w:num>
  <w:num w:numId="9">
    <w:abstractNumId w:val="2"/>
  </w:num>
  <w:num w:numId="10">
    <w:abstractNumId w:val="16"/>
  </w:num>
  <w:num w:numId="11">
    <w:abstractNumId w:val="7"/>
  </w:num>
  <w:num w:numId="12">
    <w:abstractNumId w:val="14"/>
  </w:num>
  <w:num w:numId="13">
    <w:abstractNumId w:val="11"/>
  </w:num>
  <w:num w:numId="14">
    <w:abstractNumId w:val="8"/>
  </w:num>
  <w:num w:numId="15">
    <w:abstractNumId w:val="6"/>
  </w:num>
  <w:num w:numId="16">
    <w:abstractNumId w:val="15"/>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11A88"/>
    <w:rsid w:val="00013A6E"/>
    <w:rsid w:val="0002203B"/>
    <w:rsid w:val="00030CF0"/>
    <w:rsid w:val="00031F36"/>
    <w:rsid w:val="0003271A"/>
    <w:rsid w:val="000442BD"/>
    <w:rsid w:val="00057100"/>
    <w:rsid w:val="00066B1C"/>
    <w:rsid w:val="00075EC1"/>
    <w:rsid w:val="000804EC"/>
    <w:rsid w:val="00083A73"/>
    <w:rsid w:val="00086792"/>
    <w:rsid w:val="00086930"/>
    <w:rsid w:val="000876F5"/>
    <w:rsid w:val="000A10F4"/>
    <w:rsid w:val="000B1C1A"/>
    <w:rsid w:val="000B3552"/>
    <w:rsid w:val="000B3DE0"/>
    <w:rsid w:val="000B5173"/>
    <w:rsid w:val="000D1D30"/>
    <w:rsid w:val="000D2291"/>
    <w:rsid w:val="000D4433"/>
    <w:rsid w:val="000E3350"/>
    <w:rsid w:val="000E6E3B"/>
    <w:rsid w:val="000F1054"/>
    <w:rsid w:val="000F46FE"/>
    <w:rsid w:val="000F73F3"/>
    <w:rsid w:val="000F7996"/>
    <w:rsid w:val="00103E77"/>
    <w:rsid w:val="0010573A"/>
    <w:rsid w:val="00110670"/>
    <w:rsid w:val="0011494F"/>
    <w:rsid w:val="00121C6C"/>
    <w:rsid w:val="0012557A"/>
    <w:rsid w:val="00126AD0"/>
    <w:rsid w:val="00133075"/>
    <w:rsid w:val="00147214"/>
    <w:rsid w:val="001540AB"/>
    <w:rsid w:val="00156731"/>
    <w:rsid w:val="001623AA"/>
    <w:rsid w:val="00173776"/>
    <w:rsid w:val="001747E2"/>
    <w:rsid w:val="00174C9B"/>
    <w:rsid w:val="001763D6"/>
    <w:rsid w:val="00176EB9"/>
    <w:rsid w:val="00194AFA"/>
    <w:rsid w:val="00196306"/>
    <w:rsid w:val="001A3A04"/>
    <w:rsid w:val="001B0A2D"/>
    <w:rsid w:val="001B2AE2"/>
    <w:rsid w:val="001B5C15"/>
    <w:rsid w:val="001B796F"/>
    <w:rsid w:val="001C2E12"/>
    <w:rsid w:val="001C5A63"/>
    <w:rsid w:val="001C5EB6"/>
    <w:rsid w:val="001D5770"/>
    <w:rsid w:val="001E6D09"/>
    <w:rsid w:val="001E7BDD"/>
    <w:rsid w:val="00203EC9"/>
    <w:rsid w:val="00220B5F"/>
    <w:rsid w:val="0022236C"/>
    <w:rsid w:val="0022255C"/>
    <w:rsid w:val="00222EF7"/>
    <w:rsid w:val="0022489D"/>
    <w:rsid w:val="00226355"/>
    <w:rsid w:val="00230559"/>
    <w:rsid w:val="00232176"/>
    <w:rsid w:val="002332F8"/>
    <w:rsid w:val="00234F75"/>
    <w:rsid w:val="00240F4B"/>
    <w:rsid w:val="00241AF1"/>
    <w:rsid w:val="002464C0"/>
    <w:rsid w:val="00252D87"/>
    <w:rsid w:val="00256A72"/>
    <w:rsid w:val="002575C5"/>
    <w:rsid w:val="00271955"/>
    <w:rsid w:val="002736DA"/>
    <w:rsid w:val="0027512F"/>
    <w:rsid w:val="002839B5"/>
    <w:rsid w:val="0028630A"/>
    <w:rsid w:val="0028781F"/>
    <w:rsid w:val="002923E2"/>
    <w:rsid w:val="0029273A"/>
    <w:rsid w:val="002944AB"/>
    <w:rsid w:val="002A0540"/>
    <w:rsid w:val="002A28F7"/>
    <w:rsid w:val="002A3153"/>
    <w:rsid w:val="002B18FB"/>
    <w:rsid w:val="002B7B02"/>
    <w:rsid w:val="002C3AA4"/>
    <w:rsid w:val="002D12FB"/>
    <w:rsid w:val="002D3515"/>
    <w:rsid w:val="002D3F75"/>
    <w:rsid w:val="002E1809"/>
    <w:rsid w:val="002E463F"/>
    <w:rsid w:val="002E4E9A"/>
    <w:rsid w:val="002E508B"/>
    <w:rsid w:val="002E5F9F"/>
    <w:rsid w:val="002E7849"/>
    <w:rsid w:val="002E79FD"/>
    <w:rsid w:val="002F7128"/>
    <w:rsid w:val="00300F99"/>
    <w:rsid w:val="0030621B"/>
    <w:rsid w:val="00311589"/>
    <w:rsid w:val="003119D7"/>
    <w:rsid w:val="00315B57"/>
    <w:rsid w:val="00361752"/>
    <w:rsid w:val="00361B5E"/>
    <w:rsid w:val="003625AE"/>
    <w:rsid w:val="00374981"/>
    <w:rsid w:val="00374FC6"/>
    <w:rsid w:val="003763F2"/>
    <w:rsid w:val="003810D8"/>
    <w:rsid w:val="00382E40"/>
    <w:rsid w:val="003853A4"/>
    <w:rsid w:val="003972C5"/>
    <w:rsid w:val="003A02AD"/>
    <w:rsid w:val="003A09C5"/>
    <w:rsid w:val="003A1CC2"/>
    <w:rsid w:val="003C60B5"/>
    <w:rsid w:val="003D1EFE"/>
    <w:rsid w:val="003D78CE"/>
    <w:rsid w:val="003E0FAB"/>
    <w:rsid w:val="003E1329"/>
    <w:rsid w:val="003E5EE5"/>
    <w:rsid w:val="003F52F5"/>
    <w:rsid w:val="003F6C92"/>
    <w:rsid w:val="00401039"/>
    <w:rsid w:val="00407CB0"/>
    <w:rsid w:val="004242C5"/>
    <w:rsid w:val="0042792A"/>
    <w:rsid w:val="004339FB"/>
    <w:rsid w:val="00436749"/>
    <w:rsid w:val="00437F55"/>
    <w:rsid w:val="00441B17"/>
    <w:rsid w:val="00443661"/>
    <w:rsid w:val="00446538"/>
    <w:rsid w:val="004509BE"/>
    <w:rsid w:val="004614F3"/>
    <w:rsid w:val="004638D0"/>
    <w:rsid w:val="00470223"/>
    <w:rsid w:val="00475B88"/>
    <w:rsid w:val="00480923"/>
    <w:rsid w:val="004866AD"/>
    <w:rsid w:val="00491D49"/>
    <w:rsid w:val="00495FA5"/>
    <w:rsid w:val="004A0714"/>
    <w:rsid w:val="004A381A"/>
    <w:rsid w:val="004A3C05"/>
    <w:rsid w:val="004B63CF"/>
    <w:rsid w:val="004B65AF"/>
    <w:rsid w:val="004C2995"/>
    <w:rsid w:val="004D13A3"/>
    <w:rsid w:val="004E6CD9"/>
    <w:rsid w:val="004E6CDC"/>
    <w:rsid w:val="004F11D2"/>
    <w:rsid w:val="004F20E3"/>
    <w:rsid w:val="004F211A"/>
    <w:rsid w:val="004F3159"/>
    <w:rsid w:val="004F4AEF"/>
    <w:rsid w:val="004F7991"/>
    <w:rsid w:val="00510E77"/>
    <w:rsid w:val="00531385"/>
    <w:rsid w:val="00533324"/>
    <w:rsid w:val="00536E0B"/>
    <w:rsid w:val="00541BCD"/>
    <w:rsid w:val="00543BF9"/>
    <w:rsid w:val="005535E5"/>
    <w:rsid w:val="00555A8D"/>
    <w:rsid w:val="00560451"/>
    <w:rsid w:val="00571952"/>
    <w:rsid w:val="0057250B"/>
    <w:rsid w:val="00574294"/>
    <w:rsid w:val="005749C5"/>
    <w:rsid w:val="0057670A"/>
    <w:rsid w:val="00581D79"/>
    <w:rsid w:val="005837A3"/>
    <w:rsid w:val="00587F5A"/>
    <w:rsid w:val="005905B1"/>
    <w:rsid w:val="005914F1"/>
    <w:rsid w:val="0059241F"/>
    <w:rsid w:val="005939F0"/>
    <w:rsid w:val="00594989"/>
    <w:rsid w:val="005A07FF"/>
    <w:rsid w:val="005A16BE"/>
    <w:rsid w:val="005B3E39"/>
    <w:rsid w:val="005C0B41"/>
    <w:rsid w:val="005C1770"/>
    <w:rsid w:val="005C4DCE"/>
    <w:rsid w:val="005C619C"/>
    <w:rsid w:val="005C657D"/>
    <w:rsid w:val="005C6C92"/>
    <w:rsid w:val="005C7FE8"/>
    <w:rsid w:val="005D5F92"/>
    <w:rsid w:val="005D6675"/>
    <w:rsid w:val="005E2C99"/>
    <w:rsid w:val="005F107C"/>
    <w:rsid w:val="005F7E80"/>
    <w:rsid w:val="006001DB"/>
    <w:rsid w:val="0060702F"/>
    <w:rsid w:val="00607C9F"/>
    <w:rsid w:val="006108B3"/>
    <w:rsid w:val="00616BD4"/>
    <w:rsid w:val="006237FB"/>
    <w:rsid w:val="00624153"/>
    <w:rsid w:val="00627C28"/>
    <w:rsid w:val="00631729"/>
    <w:rsid w:val="00635D57"/>
    <w:rsid w:val="006418B2"/>
    <w:rsid w:val="00642404"/>
    <w:rsid w:val="006465EA"/>
    <w:rsid w:val="00647EFA"/>
    <w:rsid w:val="00652973"/>
    <w:rsid w:val="00655689"/>
    <w:rsid w:val="006558CA"/>
    <w:rsid w:val="006606F5"/>
    <w:rsid w:val="00665AFE"/>
    <w:rsid w:val="0066609D"/>
    <w:rsid w:val="0066746F"/>
    <w:rsid w:val="00667A56"/>
    <w:rsid w:val="00670DF9"/>
    <w:rsid w:val="0067185E"/>
    <w:rsid w:val="00671D5B"/>
    <w:rsid w:val="00673EE2"/>
    <w:rsid w:val="006775FA"/>
    <w:rsid w:val="00681EAE"/>
    <w:rsid w:val="006823F8"/>
    <w:rsid w:val="0068544D"/>
    <w:rsid w:val="00687C9B"/>
    <w:rsid w:val="006958D3"/>
    <w:rsid w:val="0069596F"/>
    <w:rsid w:val="00695D08"/>
    <w:rsid w:val="006A27AA"/>
    <w:rsid w:val="006A3602"/>
    <w:rsid w:val="006A7A22"/>
    <w:rsid w:val="006B1F9F"/>
    <w:rsid w:val="006B5675"/>
    <w:rsid w:val="006C382D"/>
    <w:rsid w:val="006C5091"/>
    <w:rsid w:val="006C6419"/>
    <w:rsid w:val="006D1162"/>
    <w:rsid w:val="006E61E6"/>
    <w:rsid w:val="006E7F39"/>
    <w:rsid w:val="006F1F96"/>
    <w:rsid w:val="00700B01"/>
    <w:rsid w:val="00702EBF"/>
    <w:rsid w:val="00703682"/>
    <w:rsid w:val="00705D1E"/>
    <w:rsid w:val="00713414"/>
    <w:rsid w:val="00717677"/>
    <w:rsid w:val="00722890"/>
    <w:rsid w:val="00730350"/>
    <w:rsid w:val="0073516C"/>
    <w:rsid w:val="007403F5"/>
    <w:rsid w:val="00741CD1"/>
    <w:rsid w:val="007426B3"/>
    <w:rsid w:val="00743353"/>
    <w:rsid w:val="0074597F"/>
    <w:rsid w:val="00745CE2"/>
    <w:rsid w:val="00745F97"/>
    <w:rsid w:val="007462A6"/>
    <w:rsid w:val="0075096B"/>
    <w:rsid w:val="00751648"/>
    <w:rsid w:val="00753A38"/>
    <w:rsid w:val="00755B8F"/>
    <w:rsid w:val="0076231A"/>
    <w:rsid w:val="00764D03"/>
    <w:rsid w:val="00766FF6"/>
    <w:rsid w:val="00771C68"/>
    <w:rsid w:val="00774F55"/>
    <w:rsid w:val="00775D8A"/>
    <w:rsid w:val="0077659E"/>
    <w:rsid w:val="007772AC"/>
    <w:rsid w:val="00777AD4"/>
    <w:rsid w:val="00780950"/>
    <w:rsid w:val="007809EF"/>
    <w:rsid w:val="00783D2C"/>
    <w:rsid w:val="00794F29"/>
    <w:rsid w:val="007A2250"/>
    <w:rsid w:val="007A4C7A"/>
    <w:rsid w:val="007A5759"/>
    <w:rsid w:val="007B2AB6"/>
    <w:rsid w:val="007B4135"/>
    <w:rsid w:val="007B6E35"/>
    <w:rsid w:val="007C41A5"/>
    <w:rsid w:val="007D080B"/>
    <w:rsid w:val="007E6921"/>
    <w:rsid w:val="007F2B33"/>
    <w:rsid w:val="00814327"/>
    <w:rsid w:val="00816E77"/>
    <w:rsid w:val="008243E7"/>
    <w:rsid w:val="00831263"/>
    <w:rsid w:val="00831DB7"/>
    <w:rsid w:val="00832EBF"/>
    <w:rsid w:val="008366CB"/>
    <w:rsid w:val="00837F3A"/>
    <w:rsid w:val="0085490C"/>
    <w:rsid w:val="008620F3"/>
    <w:rsid w:val="00866257"/>
    <w:rsid w:val="00874F24"/>
    <w:rsid w:val="00875A24"/>
    <w:rsid w:val="00876230"/>
    <w:rsid w:val="00877D5B"/>
    <w:rsid w:val="00877F68"/>
    <w:rsid w:val="0088152E"/>
    <w:rsid w:val="00881C0A"/>
    <w:rsid w:val="00886B1E"/>
    <w:rsid w:val="00887935"/>
    <w:rsid w:val="008A1D6E"/>
    <w:rsid w:val="008A460D"/>
    <w:rsid w:val="008A4CD5"/>
    <w:rsid w:val="008A644A"/>
    <w:rsid w:val="008B05BD"/>
    <w:rsid w:val="008B0C03"/>
    <w:rsid w:val="008B0DD1"/>
    <w:rsid w:val="008B427B"/>
    <w:rsid w:val="008B6009"/>
    <w:rsid w:val="008B6E67"/>
    <w:rsid w:val="008B708C"/>
    <w:rsid w:val="008C1E04"/>
    <w:rsid w:val="008C366F"/>
    <w:rsid w:val="008D15AA"/>
    <w:rsid w:val="008D6968"/>
    <w:rsid w:val="008E3F07"/>
    <w:rsid w:val="008E5F36"/>
    <w:rsid w:val="008F1B5E"/>
    <w:rsid w:val="008F2757"/>
    <w:rsid w:val="008F2E4F"/>
    <w:rsid w:val="008F7436"/>
    <w:rsid w:val="009055E4"/>
    <w:rsid w:val="009111B2"/>
    <w:rsid w:val="00917E9C"/>
    <w:rsid w:val="00920696"/>
    <w:rsid w:val="00941881"/>
    <w:rsid w:val="00944BA7"/>
    <w:rsid w:val="00951C56"/>
    <w:rsid w:val="0095599F"/>
    <w:rsid w:val="00957EAD"/>
    <w:rsid w:val="00960746"/>
    <w:rsid w:val="009634E0"/>
    <w:rsid w:val="0096424B"/>
    <w:rsid w:val="00970172"/>
    <w:rsid w:val="00973D04"/>
    <w:rsid w:val="009A32B3"/>
    <w:rsid w:val="009A5F16"/>
    <w:rsid w:val="009A6507"/>
    <w:rsid w:val="009A7C90"/>
    <w:rsid w:val="009B32FA"/>
    <w:rsid w:val="009B482F"/>
    <w:rsid w:val="009B51DF"/>
    <w:rsid w:val="009C2E96"/>
    <w:rsid w:val="009C73CF"/>
    <w:rsid w:val="009D1549"/>
    <w:rsid w:val="009D59A9"/>
    <w:rsid w:val="009E00AE"/>
    <w:rsid w:val="009E08EE"/>
    <w:rsid w:val="009E09D3"/>
    <w:rsid w:val="009E6E74"/>
    <w:rsid w:val="009F0BEE"/>
    <w:rsid w:val="009F2FF2"/>
    <w:rsid w:val="00A00D01"/>
    <w:rsid w:val="00A1100A"/>
    <w:rsid w:val="00A11BA9"/>
    <w:rsid w:val="00A11DAD"/>
    <w:rsid w:val="00A124C9"/>
    <w:rsid w:val="00A30BA1"/>
    <w:rsid w:val="00A369D8"/>
    <w:rsid w:val="00A37DEE"/>
    <w:rsid w:val="00A433C3"/>
    <w:rsid w:val="00A445DA"/>
    <w:rsid w:val="00A54BB7"/>
    <w:rsid w:val="00A5643A"/>
    <w:rsid w:val="00A5723C"/>
    <w:rsid w:val="00A707A4"/>
    <w:rsid w:val="00A7274B"/>
    <w:rsid w:val="00A73FB8"/>
    <w:rsid w:val="00A7604D"/>
    <w:rsid w:val="00A763CB"/>
    <w:rsid w:val="00A801D1"/>
    <w:rsid w:val="00A81F69"/>
    <w:rsid w:val="00A84744"/>
    <w:rsid w:val="00A95AF9"/>
    <w:rsid w:val="00A96F26"/>
    <w:rsid w:val="00AA3484"/>
    <w:rsid w:val="00AA7E7B"/>
    <w:rsid w:val="00AB6D0F"/>
    <w:rsid w:val="00AB7858"/>
    <w:rsid w:val="00AB78C4"/>
    <w:rsid w:val="00AC61A6"/>
    <w:rsid w:val="00AD1DD2"/>
    <w:rsid w:val="00AD2062"/>
    <w:rsid w:val="00AD2F1D"/>
    <w:rsid w:val="00AE1E46"/>
    <w:rsid w:val="00AE3DAA"/>
    <w:rsid w:val="00AF0989"/>
    <w:rsid w:val="00AF60D9"/>
    <w:rsid w:val="00AF785C"/>
    <w:rsid w:val="00B07948"/>
    <w:rsid w:val="00B147DD"/>
    <w:rsid w:val="00B17EE1"/>
    <w:rsid w:val="00B22324"/>
    <w:rsid w:val="00B25B08"/>
    <w:rsid w:val="00B3498C"/>
    <w:rsid w:val="00B35061"/>
    <w:rsid w:val="00B3638B"/>
    <w:rsid w:val="00B432B5"/>
    <w:rsid w:val="00B43CAD"/>
    <w:rsid w:val="00B55A49"/>
    <w:rsid w:val="00B67F76"/>
    <w:rsid w:val="00B70EFF"/>
    <w:rsid w:val="00B72D91"/>
    <w:rsid w:val="00B7558C"/>
    <w:rsid w:val="00B90D62"/>
    <w:rsid w:val="00B9194F"/>
    <w:rsid w:val="00BA003B"/>
    <w:rsid w:val="00BB05E2"/>
    <w:rsid w:val="00BC2EAB"/>
    <w:rsid w:val="00BC4F52"/>
    <w:rsid w:val="00BD1111"/>
    <w:rsid w:val="00BD26B6"/>
    <w:rsid w:val="00BE01C6"/>
    <w:rsid w:val="00BE4DAC"/>
    <w:rsid w:val="00BF13F8"/>
    <w:rsid w:val="00BF19F3"/>
    <w:rsid w:val="00BF65EA"/>
    <w:rsid w:val="00C01CFF"/>
    <w:rsid w:val="00C15B78"/>
    <w:rsid w:val="00C2207B"/>
    <w:rsid w:val="00C30C71"/>
    <w:rsid w:val="00C46129"/>
    <w:rsid w:val="00C529E8"/>
    <w:rsid w:val="00C564C7"/>
    <w:rsid w:val="00C57F45"/>
    <w:rsid w:val="00C6013F"/>
    <w:rsid w:val="00C71561"/>
    <w:rsid w:val="00C72173"/>
    <w:rsid w:val="00C8124F"/>
    <w:rsid w:val="00C81513"/>
    <w:rsid w:val="00C84637"/>
    <w:rsid w:val="00C84E94"/>
    <w:rsid w:val="00C92AD3"/>
    <w:rsid w:val="00C934AB"/>
    <w:rsid w:val="00CA1009"/>
    <w:rsid w:val="00CA25C7"/>
    <w:rsid w:val="00CA30B4"/>
    <w:rsid w:val="00CA72FC"/>
    <w:rsid w:val="00CB3708"/>
    <w:rsid w:val="00CB50F9"/>
    <w:rsid w:val="00CB56F5"/>
    <w:rsid w:val="00CB6E04"/>
    <w:rsid w:val="00CB7079"/>
    <w:rsid w:val="00CC2512"/>
    <w:rsid w:val="00CC2EA7"/>
    <w:rsid w:val="00CC547F"/>
    <w:rsid w:val="00CD4454"/>
    <w:rsid w:val="00CD5CBD"/>
    <w:rsid w:val="00CD5D21"/>
    <w:rsid w:val="00CD6F4A"/>
    <w:rsid w:val="00CE7906"/>
    <w:rsid w:val="00CF0E19"/>
    <w:rsid w:val="00D1678F"/>
    <w:rsid w:val="00D20A1B"/>
    <w:rsid w:val="00D235DC"/>
    <w:rsid w:val="00D247EB"/>
    <w:rsid w:val="00D27D9B"/>
    <w:rsid w:val="00D376DB"/>
    <w:rsid w:val="00D40DE9"/>
    <w:rsid w:val="00D41212"/>
    <w:rsid w:val="00D42B45"/>
    <w:rsid w:val="00D47012"/>
    <w:rsid w:val="00D47925"/>
    <w:rsid w:val="00D631BA"/>
    <w:rsid w:val="00D6539D"/>
    <w:rsid w:val="00D660A1"/>
    <w:rsid w:val="00D7200B"/>
    <w:rsid w:val="00D92274"/>
    <w:rsid w:val="00D94339"/>
    <w:rsid w:val="00D9707F"/>
    <w:rsid w:val="00DA1F8E"/>
    <w:rsid w:val="00DA39A5"/>
    <w:rsid w:val="00DA57A4"/>
    <w:rsid w:val="00DA6019"/>
    <w:rsid w:val="00DB0D07"/>
    <w:rsid w:val="00DB0D97"/>
    <w:rsid w:val="00DC39E8"/>
    <w:rsid w:val="00DC75BD"/>
    <w:rsid w:val="00DD3A4E"/>
    <w:rsid w:val="00DD51B7"/>
    <w:rsid w:val="00DD5341"/>
    <w:rsid w:val="00DD788A"/>
    <w:rsid w:val="00DE1DD1"/>
    <w:rsid w:val="00DE2205"/>
    <w:rsid w:val="00DE6998"/>
    <w:rsid w:val="00DF0054"/>
    <w:rsid w:val="00DF3309"/>
    <w:rsid w:val="00DF5124"/>
    <w:rsid w:val="00DF5A7E"/>
    <w:rsid w:val="00DF7F39"/>
    <w:rsid w:val="00E1702C"/>
    <w:rsid w:val="00E172AF"/>
    <w:rsid w:val="00E22EE8"/>
    <w:rsid w:val="00E23ABB"/>
    <w:rsid w:val="00E23E99"/>
    <w:rsid w:val="00E25976"/>
    <w:rsid w:val="00E27826"/>
    <w:rsid w:val="00E3093A"/>
    <w:rsid w:val="00E33078"/>
    <w:rsid w:val="00E335AB"/>
    <w:rsid w:val="00E33AB6"/>
    <w:rsid w:val="00E4012C"/>
    <w:rsid w:val="00E42A8F"/>
    <w:rsid w:val="00E46F4D"/>
    <w:rsid w:val="00E70EED"/>
    <w:rsid w:val="00E72EB2"/>
    <w:rsid w:val="00E739DD"/>
    <w:rsid w:val="00E741D5"/>
    <w:rsid w:val="00E74474"/>
    <w:rsid w:val="00E7772E"/>
    <w:rsid w:val="00E8714C"/>
    <w:rsid w:val="00E87A6A"/>
    <w:rsid w:val="00E9232A"/>
    <w:rsid w:val="00E96ED9"/>
    <w:rsid w:val="00EA0958"/>
    <w:rsid w:val="00EA250A"/>
    <w:rsid w:val="00EA3E77"/>
    <w:rsid w:val="00EA4D1B"/>
    <w:rsid w:val="00EB1D11"/>
    <w:rsid w:val="00EC59BB"/>
    <w:rsid w:val="00ED3D05"/>
    <w:rsid w:val="00ED47B7"/>
    <w:rsid w:val="00EE409F"/>
    <w:rsid w:val="00EE64AE"/>
    <w:rsid w:val="00EE666C"/>
    <w:rsid w:val="00F06445"/>
    <w:rsid w:val="00F07114"/>
    <w:rsid w:val="00F206A7"/>
    <w:rsid w:val="00F3105E"/>
    <w:rsid w:val="00F36F68"/>
    <w:rsid w:val="00F41591"/>
    <w:rsid w:val="00F41A63"/>
    <w:rsid w:val="00F45180"/>
    <w:rsid w:val="00F45BEB"/>
    <w:rsid w:val="00F54523"/>
    <w:rsid w:val="00F56610"/>
    <w:rsid w:val="00F62BD7"/>
    <w:rsid w:val="00F83067"/>
    <w:rsid w:val="00F84544"/>
    <w:rsid w:val="00F92237"/>
    <w:rsid w:val="00F954FA"/>
    <w:rsid w:val="00F95B1F"/>
    <w:rsid w:val="00F96AE1"/>
    <w:rsid w:val="00FA05B2"/>
    <w:rsid w:val="00FA68A7"/>
    <w:rsid w:val="00FB1297"/>
    <w:rsid w:val="00FB7377"/>
    <w:rsid w:val="00FC0C51"/>
    <w:rsid w:val="00FC1F09"/>
    <w:rsid w:val="00FD0B05"/>
    <w:rsid w:val="00FD2CE9"/>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631729"/>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66609D"/>
    <w:pPr>
      <w:tabs>
        <w:tab w:val="right" w:pos="9498"/>
      </w:tabs>
      <w:spacing w:after="120"/>
      <w:ind w:left="238"/>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uiPriority w:val="99"/>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uiPriority w:val="99"/>
    <w:semiHidden/>
    <w:rsid w:val="00722890"/>
  </w:style>
  <w:style w:type="character" w:styleId="FootnoteReference">
    <w:name w:val="footnote reference"/>
    <w:basedOn w:val="DefaultParagraphFont"/>
    <w:uiPriority w:val="99"/>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631729"/>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66609D"/>
    <w:pPr>
      <w:tabs>
        <w:tab w:val="right" w:pos="9498"/>
      </w:tabs>
      <w:spacing w:after="120"/>
      <w:ind w:left="238"/>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uiPriority w:val="99"/>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uiPriority w:val="99"/>
    <w:semiHidden/>
    <w:rsid w:val="00722890"/>
  </w:style>
  <w:style w:type="character" w:styleId="FootnoteReference">
    <w:name w:val="footnote reference"/>
    <w:basedOn w:val="DefaultParagraphFont"/>
    <w:uiPriority w:val="99"/>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0754">
      <w:bodyDiv w:val="1"/>
      <w:marLeft w:val="0"/>
      <w:marRight w:val="0"/>
      <w:marTop w:val="0"/>
      <w:marBottom w:val="0"/>
      <w:divBdr>
        <w:top w:val="none" w:sz="0" w:space="0" w:color="auto"/>
        <w:left w:val="none" w:sz="0" w:space="0" w:color="auto"/>
        <w:bottom w:val="none" w:sz="0" w:space="0" w:color="auto"/>
        <w:right w:val="none" w:sz="0" w:space="0" w:color="auto"/>
      </w:divBdr>
    </w:div>
    <w:div w:id="156266641">
      <w:bodyDiv w:val="1"/>
      <w:marLeft w:val="0"/>
      <w:marRight w:val="0"/>
      <w:marTop w:val="0"/>
      <w:marBottom w:val="0"/>
      <w:divBdr>
        <w:top w:val="none" w:sz="0" w:space="0" w:color="auto"/>
        <w:left w:val="none" w:sz="0" w:space="0" w:color="auto"/>
        <w:bottom w:val="none" w:sz="0" w:space="0" w:color="auto"/>
        <w:right w:val="none" w:sz="0" w:space="0" w:color="auto"/>
      </w:divBdr>
    </w:div>
    <w:div w:id="184056243">
      <w:bodyDiv w:val="1"/>
      <w:marLeft w:val="0"/>
      <w:marRight w:val="0"/>
      <w:marTop w:val="0"/>
      <w:marBottom w:val="0"/>
      <w:divBdr>
        <w:top w:val="none" w:sz="0" w:space="0" w:color="auto"/>
        <w:left w:val="none" w:sz="0" w:space="0" w:color="auto"/>
        <w:bottom w:val="none" w:sz="0" w:space="0" w:color="auto"/>
        <w:right w:val="none" w:sz="0" w:space="0" w:color="auto"/>
      </w:divBdr>
    </w:div>
    <w:div w:id="367343834">
      <w:bodyDiv w:val="1"/>
      <w:marLeft w:val="0"/>
      <w:marRight w:val="0"/>
      <w:marTop w:val="0"/>
      <w:marBottom w:val="0"/>
      <w:divBdr>
        <w:top w:val="none" w:sz="0" w:space="0" w:color="auto"/>
        <w:left w:val="none" w:sz="0" w:space="0" w:color="auto"/>
        <w:bottom w:val="none" w:sz="0" w:space="0" w:color="auto"/>
        <w:right w:val="none" w:sz="0" w:space="0" w:color="auto"/>
      </w:divBdr>
      <w:divsChild>
        <w:div w:id="1168211028">
          <w:marLeft w:val="0"/>
          <w:marRight w:val="0"/>
          <w:marTop w:val="0"/>
          <w:marBottom w:val="0"/>
          <w:divBdr>
            <w:top w:val="none" w:sz="0" w:space="0" w:color="auto"/>
            <w:left w:val="none" w:sz="0" w:space="0" w:color="auto"/>
            <w:bottom w:val="none" w:sz="0" w:space="0" w:color="auto"/>
            <w:right w:val="none" w:sz="0" w:space="0" w:color="auto"/>
          </w:divBdr>
        </w:div>
        <w:div w:id="1282491023">
          <w:marLeft w:val="0"/>
          <w:marRight w:val="0"/>
          <w:marTop w:val="0"/>
          <w:marBottom w:val="0"/>
          <w:divBdr>
            <w:top w:val="none" w:sz="0" w:space="0" w:color="auto"/>
            <w:left w:val="none" w:sz="0" w:space="0" w:color="auto"/>
            <w:bottom w:val="none" w:sz="0" w:space="0" w:color="auto"/>
            <w:right w:val="none" w:sz="0" w:space="0" w:color="auto"/>
          </w:divBdr>
        </w:div>
      </w:divsChild>
    </w:div>
    <w:div w:id="418451185">
      <w:bodyDiv w:val="1"/>
      <w:marLeft w:val="0"/>
      <w:marRight w:val="0"/>
      <w:marTop w:val="0"/>
      <w:marBottom w:val="0"/>
      <w:divBdr>
        <w:top w:val="none" w:sz="0" w:space="0" w:color="auto"/>
        <w:left w:val="none" w:sz="0" w:space="0" w:color="auto"/>
        <w:bottom w:val="none" w:sz="0" w:space="0" w:color="auto"/>
        <w:right w:val="none" w:sz="0" w:space="0" w:color="auto"/>
      </w:divBdr>
    </w:div>
    <w:div w:id="420566780">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89973102">
      <w:bodyDiv w:val="1"/>
      <w:marLeft w:val="0"/>
      <w:marRight w:val="0"/>
      <w:marTop w:val="0"/>
      <w:marBottom w:val="0"/>
      <w:divBdr>
        <w:top w:val="none" w:sz="0" w:space="0" w:color="auto"/>
        <w:left w:val="none" w:sz="0" w:space="0" w:color="auto"/>
        <w:bottom w:val="none" w:sz="0" w:space="0" w:color="auto"/>
        <w:right w:val="none" w:sz="0" w:space="0" w:color="auto"/>
      </w:divBdr>
    </w:div>
    <w:div w:id="753009349">
      <w:bodyDiv w:val="1"/>
      <w:marLeft w:val="0"/>
      <w:marRight w:val="0"/>
      <w:marTop w:val="0"/>
      <w:marBottom w:val="0"/>
      <w:divBdr>
        <w:top w:val="none" w:sz="0" w:space="0" w:color="auto"/>
        <w:left w:val="none" w:sz="0" w:space="0" w:color="auto"/>
        <w:bottom w:val="none" w:sz="0" w:space="0" w:color="auto"/>
        <w:right w:val="none" w:sz="0" w:space="0" w:color="auto"/>
      </w:divBdr>
    </w:div>
    <w:div w:id="766117259">
      <w:bodyDiv w:val="1"/>
      <w:marLeft w:val="0"/>
      <w:marRight w:val="0"/>
      <w:marTop w:val="0"/>
      <w:marBottom w:val="0"/>
      <w:divBdr>
        <w:top w:val="none" w:sz="0" w:space="0" w:color="auto"/>
        <w:left w:val="none" w:sz="0" w:space="0" w:color="auto"/>
        <w:bottom w:val="none" w:sz="0" w:space="0" w:color="auto"/>
        <w:right w:val="none" w:sz="0" w:space="0" w:color="auto"/>
      </w:divBdr>
    </w:div>
    <w:div w:id="829443438">
      <w:bodyDiv w:val="1"/>
      <w:marLeft w:val="0"/>
      <w:marRight w:val="0"/>
      <w:marTop w:val="0"/>
      <w:marBottom w:val="0"/>
      <w:divBdr>
        <w:top w:val="none" w:sz="0" w:space="0" w:color="auto"/>
        <w:left w:val="none" w:sz="0" w:space="0" w:color="auto"/>
        <w:bottom w:val="none" w:sz="0" w:space="0" w:color="auto"/>
        <w:right w:val="none" w:sz="0" w:space="0" w:color="auto"/>
      </w:divBdr>
    </w:div>
    <w:div w:id="855340275">
      <w:bodyDiv w:val="1"/>
      <w:marLeft w:val="0"/>
      <w:marRight w:val="0"/>
      <w:marTop w:val="0"/>
      <w:marBottom w:val="0"/>
      <w:divBdr>
        <w:top w:val="none" w:sz="0" w:space="0" w:color="auto"/>
        <w:left w:val="none" w:sz="0" w:space="0" w:color="auto"/>
        <w:bottom w:val="none" w:sz="0" w:space="0" w:color="auto"/>
        <w:right w:val="none" w:sz="0" w:space="0" w:color="auto"/>
      </w:divBdr>
    </w:div>
    <w:div w:id="934555415">
      <w:bodyDiv w:val="1"/>
      <w:marLeft w:val="0"/>
      <w:marRight w:val="0"/>
      <w:marTop w:val="0"/>
      <w:marBottom w:val="0"/>
      <w:divBdr>
        <w:top w:val="none" w:sz="0" w:space="0" w:color="auto"/>
        <w:left w:val="none" w:sz="0" w:space="0" w:color="auto"/>
        <w:bottom w:val="none" w:sz="0" w:space="0" w:color="auto"/>
        <w:right w:val="none" w:sz="0" w:space="0" w:color="auto"/>
      </w:divBdr>
    </w:div>
    <w:div w:id="1169559558">
      <w:bodyDiv w:val="1"/>
      <w:marLeft w:val="0"/>
      <w:marRight w:val="0"/>
      <w:marTop w:val="0"/>
      <w:marBottom w:val="0"/>
      <w:divBdr>
        <w:top w:val="none" w:sz="0" w:space="0" w:color="auto"/>
        <w:left w:val="none" w:sz="0" w:space="0" w:color="auto"/>
        <w:bottom w:val="none" w:sz="0" w:space="0" w:color="auto"/>
        <w:right w:val="none" w:sz="0" w:space="0" w:color="auto"/>
      </w:divBdr>
    </w:div>
    <w:div w:id="1176657079">
      <w:bodyDiv w:val="1"/>
      <w:marLeft w:val="0"/>
      <w:marRight w:val="0"/>
      <w:marTop w:val="0"/>
      <w:marBottom w:val="0"/>
      <w:divBdr>
        <w:top w:val="none" w:sz="0" w:space="0" w:color="auto"/>
        <w:left w:val="none" w:sz="0" w:space="0" w:color="auto"/>
        <w:bottom w:val="none" w:sz="0" w:space="0" w:color="auto"/>
        <w:right w:val="none" w:sz="0" w:space="0" w:color="auto"/>
      </w:divBdr>
    </w:div>
    <w:div w:id="1245534958">
      <w:bodyDiv w:val="1"/>
      <w:marLeft w:val="0"/>
      <w:marRight w:val="0"/>
      <w:marTop w:val="0"/>
      <w:marBottom w:val="0"/>
      <w:divBdr>
        <w:top w:val="none" w:sz="0" w:space="0" w:color="auto"/>
        <w:left w:val="none" w:sz="0" w:space="0" w:color="auto"/>
        <w:bottom w:val="none" w:sz="0" w:space="0" w:color="auto"/>
        <w:right w:val="none" w:sz="0" w:space="0" w:color="auto"/>
      </w:divBdr>
    </w:div>
    <w:div w:id="1295404889">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6757337">
      <w:bodyDiv w:val="1"/>
      <w:marLeft w:val="0"/>
      <w:marRight w:val="0"/>
      <w:marTop w:val="0"/>
      <w:marBottom w:val="0"/>
      <w:divBdr>
        <w:top w:val="none" w:sz="0" w:space="0" w:color="auto"/>
        <w:left w:val="none" w:sz="0" w:space="0" w:color="auto"/>
        <w:bottom w:val="none" w:sz="0" w:space="0" w:color="auto"/>
        <w:right w:val="none" w:sz="0" w:space="0" w:color="auto"/>
      </w:divBdr>
    </w:div>
    <w:div w:id="1374844854">
      <w:bodyDiv w:val="1"/>
      <w:marLeft w:val="0"/>
      <w:marRight w:val="0"/>
      <w:marTop w:val="0"/>
      <w:marBottom w:val="0"/>
      <w:divBdr>
        <w:top w:val="none" w:sz="0" w:space="0" w:color="auto"/>
        <w:left w:val="none" w:sz="0" w:space="0" w:color="auto"/>
        <w:bottom w:val="none" w:sz="0" w:space="0" w:color="auto"/>
        <w:right w:val="none" w:sz="0" w:space="0" w:color="auto"/>
      </w:divBdr>
    </w:div>
    <w:div w:id="1391076406">
      <w:bodyDiv w:val="1"/>
      <w:marLeft w:val="0"/>
      <w:marRight w:val="0"/>
      <w:marTop w:val="0"/>
      <w:marBottom w:val="0"/>
      <w:divBdr>
        <w:top w:val="none" w:sz="0" w:space="0" w:color="auto"/>
        <w:left w:val="none" w:sz="0" w:space="0" w:color="auto"/>
        <w:bottom w:val="none" w:sz="0" w:space="0" w:color="auto"/>
        <w:right w:val="none" w:sz="0" w:space="0" w:color="auto"/>
      </w:divBdr>
    </w:div>
    <w:div w:id="1395083497">
      <w:bodyDiv w:val="1"/>
      <w:marLeft w:val="0"/>
      <w:marRight w:val="0"/>
      <w:marTop w:val="0"/>
      <w:marBottom w:val="0"/>
      <w:divBdr>
        <w:top w:val="none" w:sz="0" w:space="0" w:color="auto"/>
        <w:left w:val="none" w:sz="0" w:space="0" w:color="auto"/>
        <w:bottom w:val="none" w:sz="0" w:space="0" w:color="auto"/>
        <w:right w:val="none" w:sz="0" w:space="0" w:color="auto"/>
      </w:divBdr>
    </w:div>
    <w:div w:id="1403792685">
      <w:bodyDiv w:val="1"/>
      <w:marLeft w:val="0"/>
      <w:marRight w:val="0"/>
      <w:marTop w:val="0"/>
      <w:marBottom w:val="0"/>
      <w:divBdr>
        <w:top w:val="none" w:sz="0" w:space="0" w:color="auto"/>
        <w:left w:val="none" w:sz="0" w:space="0" w:color="auto"/>
        <w:bottom w:val="none" w:sz="0" w:space="0" w:color="auto"/>
        <w:right w:val="none" w:sz="0" w:space="0" w:color="auto"/>
      </w:divBdr>
    </w:div>
    <w:div w:id="1422723175">
      <w:bodyDiv w:val="1"/>
      <w:marLeft w:val="0"/>
      <w:marRight w:val="0"/>
      <w:marTop w:val="0"/>
      <w:marBottom w:val="0"/>
      <w:divBdr>
        <w:top w:val="none" w:sz="0" w:space="0" w:color="auto"/>
        <w:left w:val="none" w:sz="0" w:space="0" w:color="auto"/>
        <w:bottom w:val="none" w:sz="0" w:space="0" w:color="auto"/>
        <w:right w:val="none" w:sz="0" w:space="0" w:color="auto"/>
      </w:divBdr>
    </w:div>
    <w:div w:id="1713310902">
      <w:bodyDiv w:val="1"/>
      <w:marLeft w:val="0"/>
      <w:marRight w:val="0"/>
      <w:marTop w:val="0"/>
      <w:marBottom w:val="0"/>
      <w:divBdr>
        <w:top w:val="none" w:sz="0" w:space="0" w:color="auto"/>
        <w:left w:val="none" w:sz="0" w:space="0" w:color="auto"/>
        <w:bottom w:val="none" w:sz="0" w:space="0" w:color="auto"/>
        <w:right w:val="none" w:sz="0" w:space="0" w:color="auto"/>
      </w:divBdr>
    </w:div>
    <w:div w:id="1807157978">
      <w:bodyDiv w:val="1"/>
      <w:marLeft w:val="0"/>
      <w:marRight w:val="0"/>
      <w:marTop w:val="0"/>
      <w:marBottom w:val="0"/>
      <w:divBdr>
        <w:top w:val="none" w:sz="0" w:space="0" w:color="auto"/>
        <w:left w:val="none" w:sz="0" w:space="0" w:color="auto"/>
        <w:bottom w:val="none" w:sz="0" w:space="0" w:color="auto"/>
        <w:right w:val="none" w:sz="0" w:space="0" w:color="auto"/>
      </w:divBdr>
    </w:div>
    <w:div w:id="1888105524">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channel-guidance" TargetMode="External"/><Relationship Id="rId26"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s://www.gov.uk/government/news/guidance-on-promoting-british-values-in-schools-published"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mailto:psi@nationalarchives.gsi.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www.saferinternet.org.uk/" TargetMode="External"/><Relationship Id="rId29" Type="http://schemas.openxmlformats.org/officeDocument/2006/relationships/hyperlink" Target="http://twitter.com/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nationalarchives.gov.uk/doc/open-government-licence/version/2"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common-inspection-framework-education-skills-and-early-years-from-september-2015" TargetMode="External"/><Relationship Id="rId23" Type="http://schemas.openxmlformats.org/officeDocument/2006/relationships/hyperlink" Target="http://www.nationalarchives.gov.uk/doc/open-government-licence/version/3/" TargetMode="External"/><Relationship Id="rId28"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yperlink" Target="http://course.ncalt.com/Channel_General_Awareness" TargetMode="External"/><Relationship Id="rId31" Type="http://schemas.openxmlformats.org/officeDocument/2006/relationships/hyperlink" Target="http://www.facebook.com/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prevent-duty-guidance" TargetMode="External"/><Relationship Id="rId22" Type="http://schemas.openxmlformats.org/officeDocument/2006/relationships/hyperlink" Target="http://www.foundationyears.org.uk/2015/03/fundamental-british-values-in-the-early-years" TargetMode="External"/><Relationship Id="rId27" Type="http://schemas.openxmlformats.org/officeDocument/2006/relationships/hyperlink" Target="http://www.gov.uk/government/publications" TargetMode="External"/><Relationship Id="rId30" Type="http://schemas.openxmlformats.org/officeDocument/2006/relationships/image" Target="media/image3.png"/><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documentManagement/types"/>
    <ds:schemaRef ds:uri="http://schemas.microsoft.com/sharepoint/v3"/>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5546FFEB-DEC6-4BE8-A47E-50A63D50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3F64E2-48BC-42D8-BB02-54F68A94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2798</Words>
  <Characters>15951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Advice template</vt:lpstr>
    </vt:vector>
  </TitlesOfParts>
  <Company>Department for Education</Company>
  <LinksUpToDate>false</LinksUpToDate>
  <CharactersWithSpaces>18712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template</dc:title>
  <dc:creator>Publishing.TEAM@education.gsi.gov.uk</dc:creator>
  <dc:description>Master-DAT-v3.4</dc:description>
  <cp:lastModifiedBy> </cp:lastModifiedBy>
  <cp:revision>2</cp:revision>
  <cp:lastPrinted>2014-09-17T13:25:00Z</cp:lastPrinted>
  <dcterms:created xsi:type="dcterms:W3CDTF">2016-01-25T11:57:00Z</dcterms:created>
  <dcterms:modified xsi:type="dcterms:W3CDTF">2016-01-25T11:57:00Z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y fmtid="{D5CDD505-2E9C-101B-9397-08002B2CF9AE}" pid="4" name="_dlc_DocIdItemGuid">
    <vt:lpwstr>24c3e695-ccaf-4b65-ad7e-537c3f71498f</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ies>
</file>