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45DA" w:rsidRDefault="005D45DA" w:rsidP="005D45DA">
      <w:pPr>
        <w:rPr>
          <w:b/>
          <w:sz w:val="24"/>
        </w:rPr>
      </w:pPr>
      <w:r>
        <w:rPr>
          <w:b/>
          <w:sz w:val="24"/>
        </w:rPr>
        <w:t>APPENDIX 1</w:t>
      </w:r>
    </w:p>
    <w:p w:rsidR="00E2723D" w:rsidRDefault="000D2E5F" w:rsidP="000D2E5F">
      <w:pPr>
        <w:jc w:val="center"/>
        <w:rPr>
          <w:b/>
          <w:sz w:val="24"/>
        </w:rPr>
      </w:pPr>
      <w:r w:rsidRPr="000D2E5F">
        <w:rPr>
          <w:b/>
          <w:sz w:val="24"/>
        </w:rPr>
        <w:t>Cataract referrals</w:t>
      </w:r>
      <w:r w:rsidR="00B07B7B">
        <w:rPr>
          <w:b/>
          <w:sz w:val="24"/>
        </w:rPr>
        <w:t xml:space="preserve"> guidance</w:t>
      </w:r>
      <w:r w:rsidR="00920DED">
        <w:rPr>
          <w:b/>
          <w:sz w:val="24"/>
        </w:rPr>
        <w:t xml:space="preserve"> – </w:t>
      </w:r>
      <w:r w:rsidR="00F038AA">
        <w:rPr>
          <w:b/>
          <w:sz w:val="24"/>
        </w:rPr>
        <w:t>June 2020</w:t>
      </w:r>
    </w:p>
    <w:p w:rsidR="00B07B7B" w:rsidRDefault="00B07B7B" w:rsidP="00B07B7B">
      <w:r>
        <w:t xml:space="preserve">NHS Trafford CCG commissions cataract procedures according to the Greater Manchester Effective Use of Resource (EUR) policy. </w:t>
      </w:r>
    </w:p>
    <w:p w:rsidR="00DB51C2" w:rsidRDefault="00DB51C2" w:rsidP="00DB51C2">
      <w:pPr>
        <w:rPr>
          <w:rFonts w:ascii="Calibri" w:hAnsi="Calibri"/>
        </w:rPr>
      </w:pPr>
      <w:r>
        <w:rPr>
          <w:rFonts w:ascii="Calibri" w:hAnsi="Calibri"/>
        </w:rPr>
        <w:t>As of</w:t>
      </w:r>
      <w:r w:rsidR="00F038AA">
        <w:rPr>
          <w:rFonts w:ascii="Calibri" w:hAnsi="Calibri"/>
        </w:rPr>
        <w:t xml:space="preserve"> 24 June 2020</w:t>
      </w:r>
      <w:r>
        <w:rPr>
          <w:rFonts w:ascii="Calibri" w:hAnsi="Calibri"/>
        </w:rPr>
        <w:t xml:space="preserve">, </w:t>
      </w:r>
      <w:r w:rsidR="00F038AA">
        <w:rPr>
          <w:rFonts w:ascii="Calibri" w:hAnsi="Calibri"/>
        </w:rPr>
        <w:t>the Trafford Coordination Centre will be closed. C</w:t>
      </w:r>
      <w:r w:rsidR="00A703D1">
        <w:rPr>
          <w:rFonts w:ascii="Calibri" w:hAnsi="Calibri"/>
        </w:rPr>
        <w:t xml:space="preserve">ataract referrals are </w:t>
      </w:r>
      <w:r w:rsidR="00F038AA">
        <w:rPr>
          <w:rFonts w:ascii="Calibri" w:hAnsi="Calibri"/>
        </w:rPr>
        <w:t xml:space="preserve">now to be sent DIRECT </w:t>
      </w:r>
      <w:r w:rsidR="005F4EEA">
        <w:rPr>
          <w:rFonts w:ascii="Calibri" w:hAnsi="Calibri"/>
        </w:rPr>
        <w:t xml:space="preserve">to </w:t>
      </w:r>
      <w:r w:rsidR="00F038AA">
        <w:rPr>
          <w:rFonts w:ascii="Calibri" w:hAnsi="Calibri"/>
        </w:rPr>
        <w:t xml:space="preserve">the selected surgical provider </w:t>
      </w:r>
      <w:r w:rsidR="005F4EEA">
        <w:rPr>
          <w:rFonts w:ascii="Calibri" w:hAnsi="Calibri"/>
        </w:rPr>
        <w:t>using the  ‘C</w:t>
      </w:r>
      <w:r w:rsidR="00A703D1">
        <w:rPr>
          <w:rFonts w:ascii="Calibri" w:hAnsi="Calibri"/>
        </w:rPr>
        <w:t xml:space="preserve">ataract </w:t>
      </w:r>
      <w:r w:rsidR="005F4EEA">
        <w:rPr>
          <w:rFonts w:ascii="Calibri" w:hAnsi="Calibri"/>
        </w:rPr>
        <w:t>R</w:t>
      </w:r>
      <w:r w:rsidR="00A703D1">
        <w:rPr>
          <w:rFonts w:ascii="Calibri" w:hAnsi="Calibri"/>
        </w:rPr>
        <w:t xml:space="preserve">eferral form </w:t>
      </w:r>
      <w:r w:rsidR="005F4EEA">
        <w:rPr>
          <w:rFonts w:ascii="Calibri" w:hAnsi="Calibri"/>
        </w:rPr>
        <w:t>– November 2018</w:t>
      </w:r>
      <w:r w:rsidR="00F038AA">
        <w:rPr>
          <w:rFonts w:ascii="Calibri" w:hAnsi="Calibri"/>
        </w:rPr>
        <w:t xml:space="preserve"> -amended</w:t>
      </w:r>
      <w:r w:rsidR="005F4EEA">
        <w:rPr>
          <w:rFonts w:ascii="Calibri" w:hAnsi="Calibri"/>
        </w:rPr>
        <w:t>’</w:t>
      </w:r>
      <w:r w:rsidR="00F038AA">
        <w:rPr>
          <w:rFonts w:ascii="Calibri" w:hAnsi="Calibri"/>
        </w:rPr>
        <w:t xml:space="preserve">.  </w:t>
      </w:r>
      <w:r w:rsidR="00F038AA" w:rsidRPr="00F038AA">
        <w:rPr>
          <w:rFonts w:ascii="Calibri" w:hAnsi="Calibri"/>
          <w:b/>
          <w:bCs/>
        </w:rPr>
        <w:t>This is a temporary measure</w:t>
      </w:r>
      <w:r w:rsidR="00F038AA">
        <w:rPr>
          <w:rFonts w:ascii="Calibri" w:hAnsi="Calibri"/>
        </w:rPr>
        <w:t xml:space="preserve"> while the LOC and Trafford CCG arrange to move the cataract referral over to </w:t>
      </w:r>
      <w:proofErr w:type="spellStart"/>
      <w:r w:rsidR="00F038AA">
        <w:rPr>
          <w:rFonts w:ascii="Calibri" w:hAnsi="Calibri"/>
        </w:rPr>
        <w:t>Optomanager</w:t>
      </w:r>
      <w:proofErr w:type="spellEnd"/>
      <w:r w:rsidR="00F038AA">
        <w:rPr>
          <w:rFonts w:ascii="Calibri" w:hAnsi="Calibri"/>
        </w:rPr>
        <w:t xml:space="preserve"> with PES.</w:t>
      </w:r>
    </w:p>
    <w:p w:rsidR="009F215B" w:rsidRPr="009F215B" w:rsidRDefault="00F038AA" w:rsidP="00DB51C2">
      <w:pPr>
        <w:rPr>
          <w:rFonts w:ascii="Calibri" w:hAnsi="Calibri"/>
          <w:b/>
        </w:rPr>
      </w:pPr>
      <w:r>
        <w:rPr>
          <w:rFonts w:ascii="Calibri" w:hAnsi="Calibri"/>
          <w:b/>
        </w:rPr>
        <w:t>Surgical providers</w:t>
      </w:r>
    </w:p>
    <w:p w:rsidR="00F038AA" w:rsidRPr="00F038AA" w:rsidRDefault="009F215B" w:rsidP="00F038AA">
      <w:pPr>
        <w:rPr>
          <w:rFonts w:ascii="Calibri" w:hAnsi="Calibri"/>
        </w:rPr>
      </w:pPr>
      <w:r>
        <w:rPr>
          <w:rFonts w:ascii="Calibri" w:hAnsi="Calibri"/>
        </w:rPr>
        <w:t xml:space="preserve">Referrals can be sent to </w:t>
      </w:r>
      <w:r w:rsidR="00F038AA">
        <w:rPr>
          <w:rFonts w:ascii="Calibri" w:hAnsi="Calibri"/>
        </w:rPr>
        <w:t>:</w:t>
      </w:r>
      <w:r w:rsidR="00F038AA" w:rsidRPr="00310144">
        <w:rPr>
          <w:b/>
          <w:bCs/>
          <w:i/>
          <w:sz w:val="18"/>
        </w:rPr>
        <w:t xml:space="preserve"> </w:t>
      </w:r>
      <w:r w:rsidR="00F038AA" w:rsidRPr="00151DB4">
        <w:rPr>
          <w:i/>
          <w:sz w:val="18"/>
        </w:rPr>
        <w:t>(from a secure nhs.net account</w:t>
      </w:r>
      <w:r w:rsidR="00F038AA">
        <w:rPr>
          <w:i/>
          <w:sz w:val="18"/>
        </w:rPr>
        <w:t>)</w:t>
      </w:r>
    </w:p>
    <w:p w:rsidR="00F038AA" w:rsidRPr="00F038AA" w:rsidRDefault="00F038AA" w:rsidP="00F038AA">
      <w:pPr>
        <w:ind w:left="709" w:firstLine="11"/>
        <w:rPr>
          <w:rFonts w:cstheme="minorHAnsi"/>
          <w:iCs/>
        </w:rPr>
      </w:pPr>
      <w:r>
        <w:rPr>
          <w:i/>
          <w:sz w:val="18"/>
        </w:rPr>
        <w:tab/>
      </w:r>
      <w:r w:rsidRPr="00F038AA">
        <w:rPr>
          <w:rFonts w:cstheme="minorHAnsi"/>
          <w:iCs/>
        </w:rPr>
        <w:t>MREH -Withington hospita</w:t>
      </w:r>
      <w:r>
        <w:rPr>
          <w:rFonts w:cstheme="minorHAnsi"/>
          <w:iCs/>
        </w:rPr>
        <w:t>l</w:t>
      </w:r>
      <w:r w:rsidRPr="00F038AA">
        <w:rPr>
          <w:rFonts w:cstheme="minorHAnsi"/>
          <w:iCs/>
        </w:rPr>
        <w:t>:</w:t>
      </w:r>
      <w:r w:rsidRPr="00F038AA">
        <w:rPr>
          <w:rFonts w:cstheme="minorHAnsi"/>
          <w:iCs/>
        </w:rPr>
        <w:tab/>
        <w:t xml:space="preserve"> </w:t>
      </w:r>
      <w:hyperlink r:id="rId7" w:history="1">
        <w:r w:rsidRPr="00F038AA">
          <w:rPr>
            <w:rStyle w:val="Hyperlink"/>
            <w:rFonts w:cstheme="minorHAnsi"/>
            <w:iCs/>
          </w:rPr>
          <w:t>Mft.wch.admin@nhs.net</w:t>
        </w:r>
      </w:hyperlink>
    </w:p>
    <w:p w:rsidR="00F038AA" w:rsidRPr="00F038AA" w:rsidRDefault="00F038AA" w:rsidP="00F038AA">
      <w:pPr>
        <w:ind w:left="709" w:firstLine="11"/>
        <w:rPr>
          <w:rFonts w:cstheme="minorHAnsi"/>
          <w:iCs/>
        </w:rPr>
      </w:pPr>
      <w:r w:rsidRPr="00F038AA">
        <w:rPr>
          <w:rFonts w:cstheme="minorHAnsi"/>
          <w:iCs/>
        </w:rPr>
        <w:tab/>
      </w:r>
      <w:proofErr w:type="spellStart"/>
      <w:r w:rsidRPr="00F038AA">
        <w:rPr>
          <w:rFonts w:cstheme="minorHAnsi"/>
          <w:iCs/>
        </w:rPr>
        <w:t>Optegra</w:t>
      </w:r>
      <w:proofErr w:type="spellEnd"/>
      <w:r w:rsidRPr="00F038AA">
        <w:rPr>
          <w:rFonts w:cstheme="minorHAnsi"/>
          <w:iCs/>
        </w:rPr>
        <w:t xml:space="preserve"> :</w:t>
      </w:r>
      <w:r w:rsidRPr="00F038AA">
        <w:rPr>
          <w:rFonts w:cstheme="minorHAnsi"/>
          <w:iCs/>
        </w:rPr>
        <w:tab/>
      </w:r>
      <w:r w:rsidRPr="00F038AA">
        <w:rPr>
          <w:rFonts w:cstheme="minorHAnsi"/>
          <w:iCs/>
        </w:rPr>
        <w:tab/>
      </w:r>
      <w:r w:rsidRPr="00F038AA">
        <w:rPr>
          <w:rFonts w:cstheme="minorHAnsi"/>
          <w:iCs/>
        </w:rPr>
        <w:tab/>
        <w:t>Fax: 01483 903099</w:t>
      </w:r>
    </w:p>
    <w:p w:rsidR="00F038AA" w:rsidRPr="00F038AA" w:rsidRDefault="00F038AA" w:rsidP="00F038AA">
      <w:pPr>
        <w:ind w:left="709" w:firstLine="11"/>
        <w:rPr>
          <w:rFonts w:cstheme="minorHAnsi"/>
          <w:iCs/>
        </w:rPr>
      </w:pPr>
      <w:r w:rsidRPr="00F038AA">
        <w:rPr>
          <w:rFonts w:cstheme="minorHAnsi"/>
          <w:iCs/>
        </w:rPr>
        <w:tab/>
        <w:t xml:space="preserve">Spa </w:t>
      </w:r>
      <w:proofErr w:type="spellStart"/>
      <w:r w:rsidRPr="00F038AA">
        <w:rPr>
          <w:rFonts w:cstheme="minorHAnsi"/>
          <w:iCs/>
        </w:rPr>
        <w:t>Medica</w:t>
      </w:r>
      <w:proofErr w:type="spellEnd"/>
      <w:r w:rsidRPr="00F038AA">
        <w:rPr>
          <w:rFonts w:cstheme="minorHAnsi"/>
          <w:iCs/>
        </w:rPr>
        <w:t xml:space="preserve"> :</w:t>
      </w:r>
      <w:r w:rsidRPr="00F038AA">
        <w:rPr>
          <w:rFonts w:cstheme="minorHAnsi"/>
          <w:iCs/>
        </w:rPr>
        <w:tab/>
      </w:r>
      <w:r w:rsidRPr="00F038AA">
        <w:rPr>
          <w:rFonts w:cstheme="minorHAnsi"/>
          <w:iCs/>
        </w:rPr>
        <w:tab/>
      </w:r>
      <w:r w:rsidRPr="00F038AA">
        <w:rPr>
          <w:rFonts w:cstheme="minorHAnsi"/>
          <w:iCs/>
        </w:rPr>
        <w:tab/>
        <w:t>Fax 0161 8351704</w:t>
      </w:r>
    </w:p>
    <w:p w:rsidR="00F038AA" w:rsidRDefault="00F038AA" w:rsidP="00DB51C2">
      <w:pPr>
        <w:rPr>
          <w:rFonts w:ascii="Calibri" w:hAnsi="Calibri"/>
        </w:rPr>
      </w:pPr>
    </w:p>
    <w:p w:rsidR="00DB51C2" w:rsidRDefault="00DB51C2">
      <w:pPr>
        <w:rPr>
          <w:b/>
        </w:rPr>
      </w:pPr>
      <w:r>
        <w:rPr>
          <w:b/>
        </w:rPr>
        <w:t>Cataract referral criteria (GM EUR policy)</w:t>
      </w:r>
    </w:p>
    <w:p w:rsidR="000D2E5F" w:rsidRDefault="000D2E5F">
      <w:pPr>
        <w:rPr>
          <w:b/>
          <w:color w:val="1F497D" w:themeColor="text2"/>
        </w:rPr>
      </w:pPr>
      <w:r w:rsidRPr="00917082">
        <w:rPr>
          <w:b/>
          <w:color w:val="1F497D" w:themeColor="text2"/>
        </w:rPr>
        <w:t>First eye</w:t>
      </w:r>
    </w:p>
    <w:p w:rsidR="00A27EC8" w:rsidRPr="00A27EC8" w:rsidRDefault="00A27EC8">
      <w:pPr>
        <w:rPr>
          <w:b/>
          <w:color w:val="FF0000"/>
        </w:rPr>
      </w:pPr>
      <w:r w:rsidRPr="00A27EC8">
        <w:rPr>
          <w:b/>
          <w:color w:val="FF0000"/>
        </w:rPr>
        <w:t xml:space="preserve">Eligibility is confirmed by meeting criteria number 1 </w:t>
      </w:r>
      <w:r>
        <w:rPr>
          <w:b/>
          <w:color w:val="FF0000"/>
        </w:rPr>
        <w:t>AND</w:t>
      </w:r>
      <w:r w:rsidRPr="00A27EC8">
        <w:rPr>
          <w:b/>
          <w:color w:val="FF0000"/>
        </w:rPr>
        <w:t xml:space="preserve"> criteria number 2 or 3</w:t>
      </w:r>
    </w:p>
    <w:p w:rsidR="00A27EC8" w:rsidRDefault="00A27EC8" w:rsidP="00A27EC8">
      <w:pPr>
        <w:autoSpaceDE w:val="0"/>
        <w:autoSpaceDN w:val="0"/>
        <w:adjustRightInd w:val="0"/>
        <w:spacing w:after="0" w:line="240" w:lineRule="auto"/>
        <w:rPr>
          <w:rFonts w:ascii="Calibri" w:hAnsi="Calibri" w:cs="Arial"/>
          <w:b/>
          <w:bCs/>
          <w:color w:val="000000"/>
        </w:rPr>
      </w:pPr>
      <w:r>
        <w:rPr>
          <w:rFonts w:ascii="Calibri" w:hAnsi="Calibri" w:cs="Arial"/>
          <w:b/>
          <w:bCs/>
          <w:color w:val="000000"/>
        </w:rPr>
        <w:t xml:space="preserve">Criteria number 1 </w:t>
      </w:r>
    </w:p>
    <w:p w:rsidR="00A27EC8" w:rsidRDefault="00A27EC8" w:rsidP="00A27EC8">
      <w:pPr>
        <w:autoSpaceDE w:val="0"/>
        <w:autoSpaceDN w:val="0"/>
        <w:adjustRightInd w:val="0"/>
        <w:spacing w:after="0" w:line="240" w:lineRule="auto"/>
        <w:rPr>
          <w:rFonts w:ascii="Calibri" w:hAnsi="Calibri" w:cs="Arial"/>
          <w:color w:val="000000"/>
        </w:rPr>
      </w:pPr>
    </w:p>
    <w:p w:rsidR="00A27EC8" w:rsidRDefault="00A27EC8" w:rsidP="00A27EC8">
      <w:pPr>
        <w:autoSpaceDE w:val="0"/>
        <w:autoSpaceDN w:val="0"/>
        <w:adjustRightInd w:val="0"/>
        <w:spacing w:after="0" w:line="240" w:lineRule="auto"/>
        <w:rPr>
          <w:rFonts w:ascii="Calibri" w:hAnsi="Calibri" w:cs="Arial"/>
          <w:color w:val="000000"/>
        </w:rPr>
      </w:pPr>
      <w:r w:rsidRPr="000D2E5F">
        <w:rPr>
          <w:rFonts w:ascii="Calibri" w:hAnsi="Calibri" w:cs="Arial"/>
          <w:color w:val="000000"/>
        </w:rPr>
        <w:t>• The patient desire</w:t>
      </w:r>
      <w:r>
        <w:rPr>
          <w:rFonts w:ascii="Calibri" w:hAnsi="Calibri" w:cs="Arial"/>
          <w:color w:val="000000"/>
        </w:rPr>
        <w:t>s</w:t>
      </w:r>
      <w:r w:rsidRPr="000D2E5F">
        <w:rPr>
          <w:rFonts w:ascii="Calibri" w:hAnsi="Calibri" w:cs="Arial"/>
          <w:color w:val="000000"/>
        </w:rPr>
        <w:t xml:space="preserve"> surgery. </w:t>
      </w:r>
    </w:p>
    <w:p w:rsidR="00A27EC8" w:rsidRDefault="00A27EC8" w:rsidP="00A27EC8">
      <w:pPr>
        <w:autoSpaceDE w:val="0"/>
        <w:autoSpaceDN w:val="0"/>
        <w:adjustRightInd w:val="0"/>
        <w:spacing w:after="0" w:line="240" w:lineRule="auto"/>
        <w:rPr>
          <w:rFonts w:ascii="Calibri" w:hAnsi="Calibri" w:cs="Arial"/>
          <w:color w:val="000000"/>
        </w:rPr>
      </w:pPr>
      <w:r w:rsidRPr="000D2E5F">
        <w:rPr>
          <w:rFonts w:ascii="Calibri" w:hAnsi="Calibri" w:cs="Arial"/>
          <w:color w:val="000000"/>
        </w:rPr>
        <w:t xml:space="preserve">• The patient </w:t>
      </w:r>
      <w:r>
        <w:rPr>
          <w:rFonts w:ascii="Calibri" w:hAnsi="Calibri" w:cs="Arial"/>
          <w:color w:val="000000"/>
        </w:rPr>
        <w:t>doesn’t have</w:t>
      </w:r>
      <w:r w:rsidRPr="000D2E5F">
        <w:rPr>
          <w:rFonts w:ascii="Calibri" w:hAnsi="Calibri" w:cs="Arial"/>
          <w:color w:val="000000"/>
        </w:rPr>
        <w:t xml:space="preserve"> concomitant ocular disease where functional improvement is unlikely. </w:t>
      </w:r>
    </w:p>
    <w:p w:rsidR="005E7C0E" w:rsidRDefault="005E7C0E">
      <w:pPr>
        <w:rPr>
          <w:b/>
        </w:rPr>
      </w:pPr>
    </w:p>
    <w:p w:rsidR="00917082" w:rsidRPr="000D2E5F" w:rsidRDefault="00917082">
      <w:pPr>
        <w:rPr>
          <w:b/>
        </w:rPr>
      </w:pPr>
      <w:r>
        <w:rPr>
          <w:b/>
        </w:rPr>
        <w:t xml:space="preserve">Criteria number </w:t>
      </w:r>
      <w:r w:rsidR="00A27EC8">
        <w:rPr>
          <w:b/>
        </w:rPr>
        <w:t>2</w:t>
      </w:r>
      <w:r w:rsidR="00A3141B">
        <w:rPr>
          <w:b/>
        </w:rPr>
        <w:t xml:space="preserve"> (</w:t>
      </w:r>
      <w:r>
        <w:rPr>
          <w:b/>
        </w:rPr>
        <w:t xml:space="preserve">if met, </w:t>
      </w:r>
      <w:r w:rsidR="00A3141B">
        <w:rPr>
          <w:b/>
        </w:rPr>
        <w:t>eligibility is confirmed)</w:t>
      </w:r>
    </w:p>
    <w:p w:rsidR="00917082" w:rsidRDefault="000D2E5F" w:rsidP="00917082">
      <w:pPr>
        <w:pStyle w:val="ListParagraph"/>
        <w:numPr>
          <w:ilvl w:val="0"/>
          <w:numId w:val="1"/>
        </w:numPr>
      </w:pPr>
      <w:r>
        <w:t>Best corrected visual acuity score is worse than 6/9</w:t>
      </w:r>
      <w:r w:rsidR="00917082">
        <w:t xml:space="preserve"> </w:t>
      </w:r>
    </w:p>
    <w:p w:rsidR="000D2E5F" w:rsidRPr="00635537" w:rsidRDefault="00A27EC8" w:rsidP="00917082">
      <w:pPr>
        <w:rPr>
          <w:b/>
        </w:rPr>
      </w:pPr>
      <w:r>
        <w:rPr>
          <w:b/>
        </w:rPr>
        <w:t>Criteria number 3</w:t>
      </w:r>
      <w:r w:rsidR="00FA7D5F">
        <w:rPr>
          <w:b/>
        </w:rPr>
        <w:t xml:space="preserve"> (check if criteria number 2</w:t>
      </w:r>
      <w:r w:rsidR="00917082">
        <w:rPr>
          <w:b/>
        </w:rPr>
        <w:t xml:space="preserve"> isn’t met)</w:t>
      </w:r>
    </w:p>
    <w:p w:rsidR="000D2E5F" w:rsidRDefault="000D2E5F" w:rsidP="000D2E5F">
      <w:pPr>
        <w:pStyle w:val="ListParagraph"/>
        <w:numPr>
          <w:ilvl w:val="0"/>
          <w:numId w:val="1"/>
        </w:numPr>
      </w:pPr>
      <w:r>
        <w:t>Visual acuity is 6/9 or better but patient reports excessive difficulty in twilight or dark conditions and the difficulty has been confirmed by a clinician to be the result of reduced contrast sensitivity</w:t>
      </w:r>
    </w:p>
    <w:p w:rsidR="000D2E5F" w:rsidRDefault="000D2E5F" w:rsidP="000D2E5F">
      <w:pPr>
        <w:ind w:left="360"/>
      </w:pPr>
      <w:r w:rsidRPr="00635537">
        <w:rPr>
          <w:b/>
        </w:rPr>
        <w:t>AND</w:t>
      </w:r>
      <w:r>
        <w:t xml:space="preserve"> one of the following (with correction)</w:t>
      </w:r>
    </w:p>
    <w:p w:rsidR="000D2E5F" w:rsidRDefault="000D2E5F" w:rsidP="000D2E5F">
      <w:pPr>
        <w:pStyle w:val="ListParagraph"/>
        <w:numPr>
          <w:ilvl w:val="0"/>
          <w:numId w:val="1"/>
        </w:numPr>
      </w:pPr>
      <w:r>
        <w:t>Difficulty carrying out everyday tasks such as recognising faces, watching TV, reading, cooking, playing sport/cards etc.</w:t>
      </w:r>
    </w:p>
    <w:p w:rsidR="000D2E5F" w:rsidRPr="000D2E5F" w:rsidRDefault="000D2E5F" w:rsidP="000D2E5F">
      <w:pPr>
        <w:pStyle w:val="ListParagraph"/>
        <w:numPr>
          <w:ilvl w:val="0"/>
          <w:numId w:val="1"/>
        </w:numPr>
        <w:rPr>
          <w:rFonts w:ascii="Calibri" w:hAnsi="Calibri"/>
        </w:rPr>
      </w:pPr>
      <w:r w:rsidRPr="000D2E5F">
        <w:rPr>
          <w:rFonts w:ascii="Calibri" w:hAnsi="Calibri" w:cs="Arial"/>
          <w:color w:val="000000"/>
        </w:rPr>
        <w:t>Reduced mobility, experiencing difficulties in driving, for example, due to glare, or experiencing difficulty with steps or uneven ground.</w:t>
      </w:r>
    </w:p>
    <w:p w:rsidR="000D2E5F" w:rsidRPr="000D2E5F" w:rsidRDefault="000D2E5F" w:rsidP="000D2E5F">
      <w:pPr>
        <w:pStyle w:val="ListParagraph"/>
        <w:numPr>
          <w:ilvl w:val="0"/>
          <w:numId w:val="1"/>
        </w:numPr>
        <w:rPr>
          <w:rFonts w:ascii="Calibri" w:hAnsi="Calibri"/>
        </w:rPr>
      </w:pPr>
      <w:r w:rsidRPr="000D2E5F">
        <w:rPr>
          <w:rFonts w:ascii="Calibri" w:hAnsi="Calibri" w:cs="Arial"/>
          <w:color w:val="000000"/>
        </w:rPr>
        <w:t>Ability to work, give care or live independently is affected</w:t>
      </w:r>
    </w:p>
    <w:p w:rsidR="000D2E5F" w:rsidRPr="000D2E5F" w:rsidRDefault="000D2E5F" w:rsidP="000D2E5F">
      <w:pPr>
        <w:autoSpaceDE w:val="0"/>
        <w:autoSpaceDN w:val="0"/>
        <w:adjustRightInd w:val="0"/>
        <w:spacing w:after="0" w:line="240" w:lineRule="auto"/>
        <w:rPr>
          <w:rFonts w:ascii="Arial" w:hAnsi="Arial" w:cs="Arial"/>
          <w:color w:val="000000"/>
        </w:rPr>
      </w:pPr>
    </w:p>
    <w:p w:rsidR="00635537" w:rsidRPr="00917082" w:rsidRDefault="00635537" w:rsidP="00635537">
      <w:pPr>
        <w:rPr>
          <w:b/>
          <w:color w:val="1F497D" w:themeColor="text2"/>
        </w:rPr>
      </w:pPr>
      <w:r w:rsidRPr="00917082">
        <w:rPr>
          <w:b/>
          <w:color w:val="1F497D" w:themeColor="text2"/>
        </w:rPr>
        <w:t>Second eye</w:t>
      </w:r>
    </w:p>
    <w:p w:rsidR="000D2E5F" w:rsidRPr="00635537" w:rsidRDefault="000D2E5F" w:rsidP="000D2E5F">
      <w:pPr>
        <w:pStyle w:val="Default"/>
        <w:rPr>
          <w:rFonts w:ascii="Calibri" w:hAnsi="Calibri"/>
          <w:sz w:val="22"/>
          <w:szCs w:val="22"/>
        </w:rPr>
      </w:pPr>
      <w:r w:rsidRPr="00635537">
        <w:rPr>
          <w:rFonts w:ascii="Calibri" w:hAnsi="Calibri"/>
          <w:sz w:val="22"/>
          <w:szCs w:val="22"/>
        </w:rPr>
        <w:t xml:space="preserve">The referral criteria for second eye are: </w:t>
      </w:r>
    </w:p>
    <w:p w:rsidR="000D2E5F" w:rsidRPr="00635537" w:rsidRDefault="000D2E5F" w:rsidP="000D2E5F">
      <w:pPr>
        <w:pStyle w:val="Default"/>
        <w:rPr>
          <w:rFonts w:ascii="Calibri" w:hAnsi="Calibri"/>
          <w:sz w:val="22"/>
          <w:szCs w:val="22"/>
        </w:rPr>
      </w:pPr>
      <w:r w:rsidRPr="00635537">
        <w:rPr>
          <w:rFonts w:ascii="Calibri" w:hAnsi="Calibri"/>
          <w:sz w:val="22"/>
          <w:szCs w:val="22"/>
        </w:rPr>
        <w:t xml:space="preserve">• As above for first eye </w:t>
      </w:r>
    </w:p>
    <w:p w:rsidR="000D2E5F" w:rsidRPr="00635537" w:rsidRDefault="000D2E5F" w:rsidP="000D2E5F">
      <w:pPr>
        <w:pStyle w:val="Default"/>
        <w:rPr>
          <w:rFonts w:ascii="Calibri" w:hAnsi="Calibri"/>
          <w:sz w:val="22"/>
          <w:szCs w:val="22"/>
        </w:rPr>
      </w:pPr>
    </w:p>
    <w:p w:rsidR="000D2E5F" w:rsidRDefault="000D2E5F" w:rsidP="000D2E5F">
      <w:pPr>
        <w:pStyle w:val="Default"/>
        <w:rPr>
          <w:rFonts w:ascii="Calibri" w:hAnsi="Calibri"/>
          <w:sz w:val="22"/>
          <w:szCs w:val="22"/>
        </w:rPr>
      </w:pPr>
      <w:r w:rsidRPr="00635537">
        <w:rPr>
          <w:rFonts w:ascii="Calibri" w:hAnsi="Calibri"/>
          <w:b/>
          <w:bCs/>
          <w:sz w:val="22"/>
          <w:szCs w:val="22"/>
        </w:rPr>
        <w:t xml:space="preserve">OR </w:t>
      </w:r>
      <w:r w:rsidRPr="00635537">
        <w:rPr>
          <w:rFonts w:ascii="Calibri" w:hAnsi="Calibri"/>
          <w:sz w:val="22"/>
          <w:szCs w:val="22"/>
        </w:rPr>
        <w:t xml:space="preserve">any of the following: </w:t>
      </w:r>
    </w:p>
    <w:p w:rsidR="00635537" w:rsidRPr="00635537" w:rsidRDefault="00635537" w:rsidP="000D2E5F">
      <w:pPr>
        <w:pStyle w:val="Default"/>
        <w:rPr>
          <w:rFonts w:ascii="Calibri" w:hAnsi="Calibri"/>
          <w:sz w:val="22"/>
          <w:szCs w:val="22"/>
        </w:rPr>
      </w:pPr>
    </w:p>
    <w:p w:rsidR="000D2E5F" w:rsidRPr="00635537" w:rsidRDefault="000D2E5F" w:rsidP="000D2E5F">
      <w:pPr>
        <w:pStyle w:val="Default"/>
        <w:rPr>
          <w:rFonts w:ascii="Calibri" w:hAnsi="Calibri"/>
          <w:sz w:val="22"/>
          <w:szCs w:val="22"/>
        </w:rPr>
      </w:pPr>
      <w:r w:rsidRPr="00635537">
        <w:rPr>
          <w:rFonts w:ascii="Calibri" w:hAnsi="Calibri"/>
          <w:sz w:val="22"/>
          <w:szCs w:val="22"/>
        </w:rPr>
        <w:t xml:space="preserve">• Where there are binocular considerations </w:t>
      </w:r>
    </w:p>
    <w:p w:rsidR="000D2E5F" w:rsidRPr="00635537" w:rsidRDefault="000D2E5F" w:rsidP="000D2E5F">
      <w:pPr>
        <w:pStyle w:val="Default"/>
        <w:rPr>
          <w:rFonts w:ascii="Calibri" w:hAnsi="Calibri"/>
          <w:sz w:val="22"/>
          <w:szCs w:val="22"/>
        </w:rPr>
      </w:pPr>
      <w:r w:rsidRPr="00635537">
        <w:rPr>
          <w:rFonts w:ascii="Calibri" w:hAnsi="Calibri"/>
          <w:sz w:val="22"/>
          <w:szCs w:val="22"/>
        </w:rPr>
        <w:t xml:space="preserve">• Where there is anisometropia </w:t>
      </w:r>
    </w:p>
    <w:p w:rsidR="000D2E5F" w:rsidRPr="00635537" w:rsidRDefault="000D2E5F" w:rsidP="000D2E5F">
      <w:pPr>
        <w:pStyle w:val="Default"/>
        <w:rPr>
          <w:rFonts w:ascii="Calibri" w:hAnsi="Calibri"/>
          <w:sz w:val="22"/>
          <w:szCs w:val="22"/>
        </w:rPr>
      </w:pPr>
      <w:r w:rsidRPr="00635537">
        <w:rPr>
          <w:rFonts w:ascii="Calibri" w:hAnsi="Calibri"/>
          <w:sz w:val="22"/>
          <w:szCs w:val="22"/>
        </w:rPr>
        <w:t xml:space="preserve">• Where there is disabling glare </w:t>
      </w:r>
    </w:p>
    <w:p w:rsidR="000D2E5F" w:rsidRDefault="000D2E5F">
      <w:pPr>
        <w:rPr>
          <w:rFonts w:ascii="Calibri" w:hAnsi="Calibri"/>
        </w:rPr>
      </w:pPr>
    </w:p>
    <w:p w:rsidR="00B07B7B" w:rsidRPr="00FA7D5F" w:rsidRDefault="00FA7D5F">
      <w:pPr>
        <w:rPr>
          <w:rFonts w:ascii="Calibri" w:hAnsi="Calibri"/>
          <w:b/>
        </w:rPr>
      </w:pPr>
      <w:r w:rsidRPr="00FA7D5F">
        <w:rPr>
          <w:rFonts w:ascii="Calibri" w:hAnsi="Calibri"/>
          <w:b/>
        </w:rPr>
        <w:t>Instructions for optometrists in cases patient has cataract but isn’t at a level which meets eligibility criteria:</w:t>
      </w:r>
    </w:p>
    <w:p w:rsidR="005E7C0E" w:rsidRPr="000D2E5F" w:rsidRDefault="005E7C0E" w:rsidP="005E7C0E">
      <w:pPr>
        <w:autoSpaceDE w:val="0"/>
        <w:autoSpaceDN w:val="0"/>
        <w:adjustRightInd w:val="0"/>
        <w:spacing w:after="0" w:line="240" w:lineRule="auto"/>
        <w:rPr>
          <w:rFonts w:ascii="Calibri" w:hAnsi="Calibri" w:cs="Arial"/>
          <w:color w:val="000000"/>
        </w:rPr>
      </w:pPr>
      <w:r w:rsidRPr="000D2E5F">
        <w:rPr>
          <w:rFonts w:ascii="Calibri" w:hAnsi="Calibri" w:cs="Arial"/>
          <w:color w:val="000000"/>
        </w:rPr>
        <w:t xml:space="preserve">Patients who are not referred for surgery should remain under the care of their primary care practitioner (GP, community ophthalmologist, optometrist) and be reassessed at one to two year intervals, as appropriate. </w:t>
      </w:r>
    </w:p>
    <w:p w:rsidR="00B07B7B" w:rsidRDefault="00B07B7B">
      <w:pPr>
        <w:rPr>
          <w:rFonts w:ascii="Calibri" w:hAnsi="Calibri"/>
        </w:rPr>
      </w:pPr>
    </w:p>
    <w:p w:rsidR="00B07B7B" w:rsidRPr="00635537" w:rsidRDefault="00B07B7B">
      <w:pPr>
        <w:rPr>
          <w:rFonts w:ascii="Calibri" w:hAnsi="Calibri"/>
        </w:rPr>
      </w:pPr>
    </w:p>
    <w:sectPr w:rsidR="00B07B7B" w:rsidRPr="00635537" w:rsidSect="00FF4B68">
      <w:headerReference w:type="even" r:id="rId8"/>
      <w:headerReference w:type="default" r:id="rId9"/>
      <w:footerReference w:type="even" r:id="rId10"/>
      <w:footerReference w:type="default" r:id="rId11"/>
      <w:headerReference w:type="first" r:id="rId12"/>
      <w:footerReference w:type="first" r:id="rId13"/>
      <w:pgSz w:w="11906" w:h="16838"/>
      <w:pgMar w:top="2127" w:right="1440" w:bottom="1276"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044D" w:rsidRDefault="0043044D" w:rsidP="00EB5FD3">
      <w:pPr>
        <w:spacing w:after="0" w:line="240" w:lineRule="auto"/>
      </w:pPr>
      <w:r>
        <w:separator/>
      </w:r>
    </w:p>
  </w:endnote>
  <w:endnote w:type="continuationSeparator" w:id="0">
    <w:p w:rsidR="0043044D" w:rsidRDefault="0043044D" w:rsidP="00EB5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3FE0" w:rsidRDefault="00B73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3FE0" w:rsidRDefault="00B73F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3FE0" w:rsidRDefault="00B73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044D" w:rsidRDefault="0043044D" w:rsidP="00EB5FD3">
      <w:pPr>
        <w:spacing w:after="0" w:line="240" w:lineRule="auto"/>
      </w:pPr>
      <w:r>
        <w:separator/>
      </w:r>
    </w:p>
  </w:footnote>
  <w:footnote w:type="continuationSeparator" w:id="0">
    <w:p w:rsidR="0043044D" w:rsidRDefault="0043044D" w:rsidP="00EB5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3FE0" w:rsidRDefault="00B73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5FD3" w:rsidRDefault="00EB5FD3">
    <w:pPr>
      <w:pStyle w:val="Header"/>
    </w:pPr>
    <w:r>
      <w:rPr>
        <w:b/>
        <w:noProof/>
        <w:sz w:val="32"/>
        <w:szCs w:val="32"/>
        <w:lang w:eastAsia="en-GB"/>
      </w:rPr>
      <w:drawing>
        <wp:anchor distT="0" distB="0" distL="114300" distR="114300" simplePos="0" relativeHeight="251657216" behindDoc="0" locked="0" layoutInCell="1" allowOverlap="1" wp14:anchorId="0A592BDF" wp14:editId="19F4BF97">
          <wp:simplePos x="0" y="0"/>
          <wp:positionH relativeFrom="column">
            <wp:posOffset>3026410</wp:posOffset>
          </wp:positionH>
          <wp:positionV relativeFrom="paragraph">
            <wp:posOffset>354330</wp:posOffset>
          </wp:positionV>
          <wp:extent cx="3055620" cy="786130"/>
          <wp:effectExtent l="0" t="0" r="0" b="0"/>
          <wp:wrapNone/>
          <wp:docPr id="4" name="Picture 4" descr="C:\Users\elizabeth.walker1\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walker1\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5620" cy="786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3FE0" w:rsidRDefault="00B73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06D8C"/>
    <w:multiLevelType w:val="hybridMultilevel"/>
    <w:tmpl w:val="88EA0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5F"/>
    <w:rsid w:val="000C79DB"/>
    <w:rsid w:val="000D1706"/>
    <w:rsid w:val="000D2E5F"/>
    <w:rsid w:val="001D0FA7"/>
    <w:rsid w:val="002E79B2"/>
    <w:rsid w:val="0043044D"/>
    <w:rsid w:val="00574AB1"/>
    <w:rsid w:val="005833C8"/>
    <w:rsid w:val="00590E0E"/>
    <w:rsid w:val="005D45DA"/>
    <w:rsid w:val="005E7C0E"/>
    <w:rsid w:val="005F4EEA"/>
    <w:rsid w:val="006252AE"/>
    <w:rsid w:val="00635537"/>
    <w:rsid w:val="006B7C38"/>
    <w:rsid w:val="00721F45"/>
    <w:rsid w:val="00783826"/>
    <w:rsid w:val="00917082"/>
    <w:rsid w:val="00920DED"/>
    <w:rsid w:val="00990BEE"/>
    <w:rsid w:val="009F215B"/>
    <w:rsid w:val="009F2771"/>
    <w:rsid w:val="00A27EC8"/>
    <w:rsid w:val="00A3141B"/>
    <w:rsid w:val="00A53B86"/>
    <w:rsid w:val="00A703D1"/>
    <w:rsid w:val="00A8396D"/>
    <w:rsid w:val="00B07B7B"/>
    <w:rsid w:val="00B54BE8"/>
    <w:rsid w:val="00B73FE0"/>
    <w:rsid w:val="00C365B6"/>
    <w:rsid w:val="00DB51C2"/>
    <w:rsid w:val="00EB5FD3"/>
    <w:rsid w:val="00F038AA"/>
    <w:rsid w:val="00F114A7"/>
    <w:rsid w:val="00F721E3"/>
    <w:rsid w:val="00FA7D5F"/>
    <w:rsid w:val="00FF4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64DB9"/>
  <w15:docId w15:val="{CBE23A93-766C-2A47-AAFC-F7E5F640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2E5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D2E5F"/>
    <w:pPr>
      <w:ind w:left="720"/>
      <w:contextualSpacing/>
    </w:pPr>
  </w:style>
  <w:style w:type="paragraph" w:styleId="Header">
    <w:name w:val="header"/>
    <w:basedOn w:val="Normal"/>
    <w:link w:val="HeaderChar"/>
    <w:uiPriority w:val="99"/>
    <w:unhideWhenUsed/>
    <w:rsid w:val="00EB5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FD3"/>
  </w:style>
  <w:style w:type="paragraph" w:styleId="Footer">
    <w:name w:val="footer"/>
    <w:basedOn w:val="Normal"/>
    <w:link w:val="FooterChar"/>
    <w:uiPriority w:val="99"/>
    <w:unhideWhenUsed/>
    <w:rsid w:val="00EB5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FD3"/>
  </w:style>
  <w:style w:type="character" w:styleId="Hyperlink">
    <w:name w:val="Hyperlink"/>
    <w:basedOn w:val="DefaultParagraphFont"/>
    <w:uiPriority w:val="99"/>
    <w:unhideWhenUsed/>
    <w:rsid w:val="009F2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ft.wch.admin@nhs.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Tal.Twist</dc:creator>
  <cp:lastModifiedBy>NIGEL BURGESS</cp:lastModifiedBy>
  <cp:revision>1</cp:revision>
  <dcterms:created xsi:type="dcterms:W3CDTF">2020-06-24T09:29:00Z</dcterms:created>
  <dcterms:modified xsi:type="dcterms:W3CDTF">2020-06-24T09:29:00Z</dcterms:modified>
</cp:coreProperties>
</file>