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A7" w:rsidRDefault="00194651" w:rsidP="001230A7">
      <w:r w:rsidRPr="000272CF">
        <w:rPr>
          <w:rFonts w:hint="eastAsia"/>
          <w:noProof/>
          <w:sz w:val="22"/>
          <w:szCs w:val="22"/>
          <w:lang w:val="en-GB" w:eastAsia="en-GB"/>
        </w:rPr>
        <w:drawing>
          <wp:anchor distT="0" distB="0" distL="114300" distR="114300" simplePos="0" relativeHeight="251660287" behindDoc="0" locked="0" layoutInCell="1" allowOverlap="1" wp14:anchorId="77C14DF5" wp14:editId="4DD8B60D">
            <wp:simplePos x="0" y="0"/>
            <wp:positionH relativeFrom="page">
              <wp:posOffset>0</wp:posOffset>
            </wp:positionH>
            <wp:positionV relativeFrom="page">
              <wp:posOffset>0</wp:posOffset>
            </wp:positionV>
            <wp:extent cx="7581900" cy="10711638"/>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 report covers light grey-06.eps"/>
                    <pic:cNvPicPr/>
                  </pic:nvPicPr>
                  <pic:blipFill>
                    <a:blip r:embed="rId9">
                      <a:extLst>
                        <a:ext uri="{28A0092B-C50C-407E-A947-70E740481C1C}">
                          <a14:useLocalDpi xmlns:a14="http://schemas.microsoft.com/office/drawing/2010/main" val="0"/>
                        </a:ext>
                      </a:extLst>
                    </a:blip>
                    <a:stretch>
                      <a:fillRect/>
                    </a:stretch>
                  </pic:blipFill>
                  <pic:spPr>
                    <a:xfrm>
                      <a:off x="0" y="0"/>
                      <a:ext cx="7581900" cy="10711638"/>
                    </a:xfrm>
                    <a:prstGeom prst="rect">
                      <a:avLst/>
                    </a:prstGeom>
                  </pic:spPr>
                </pic:pic>
              </a:graphicData>
            </a:graphic>
          </wp:anchor>
        </w:drawing>
      </w:r>
      <w:r w:rsidR="00E5338C">
        <w:rPr>
          <w:noProof/>
          <w:sz w:val="22"/>
          <w:szCs w:val="22"/>
          <w:lang w:eastAsia="en-US"/>
        </w:rPr>
        <w:pict>
          <v:shapetype id="_x0000_t202" coordsize="21600,21600" o:spt="202" path="m,l,21600r21600,l21600,xe">
            <v:stroke joinstyle="miter"/>
            <v:path gradientshapeok="t" o:connecttype="rect"/>
          </v:shapetype>
          <v:shape id="Text Box 3" o:spid="_x0000_s1026" type="#_x0000_t202" style="position:absolute;margin-left:66pt;margin-top:199pt;width:473.3pt;height:120pt;z-index:25166131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" filled="f" stroked="f">
            <v:path arrowok="t"/>
            <v:textbox>
              <w:txbxContent>
                <w:p w:rsidR="001230A7" w:rsidRPr="005D4F93" w:rsidRDefault="001230A7" w:rsidP="001230A7">
                  <w:pPr>
                    <w:rPr>
                      <w:rFonts w:ascii="Arial" w:hAnsi="Arial"/>
                      <w:color w:val="595959"/>
                      <w:sz w:val="76"/>
                      <w:szCs w:val="76"/>
                    </w:rPr>
                  </w:pPr>
                  <w:r w:rsidRPr="005D4F93">
                    <w:rPr>
                      <w:rFonts w:ascii="Arial" w:hAnsi="Arial"/>
                      <w:color w:val="595959"/>
                      <w:sz w:val="76"/>
                      <w:szCs w:val="76"/>
                    </w:rPr>
                    <w:t>Local Enhanced Service Claim Process</w:t>
                  </w:r>
                </w:p>
                <w:p w:rsidR="00775FC3" w:rsidRPr="001230A7" w:rsidRDefault="00775FC3" w:rsidP="001230A7"/>
              </w:txbxContent>
            </v:textbox>
            <w10:wrap anchorx="page" anchory="page"/>
          </v:shape>
        </w:pict>
      </w:r>
      <w:r w:rsidR="00E5338C">
        <w:rPr>
          <w:noProof/>
          <w:sz w:val="22"/>
          <w:szCs w:val="22"/>
          <w:lang w:eastAsia="en-US"/>
        </w:rPr>
        <w:pict>
          <v:shape id="Text Box 4" o:spid="_x0000_s1027" type="#_x0000_t202" style="position:absolute;margin-left:66pt;margin-top:314.5pt;width:473.3pt;height:63pt;z-index:25166233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" filled="f" stroked="f">
            <v:path arrowok="t"/>
            <v:textbox>
              <w:txbxContent>
                <w:p w:rsidR="001230A7" w:rsidRPr="00775FC3" w:rsidRDefault="001230A7" w:rsidP="001230A7">
                  <w:pPr>
                    <w:rPr>
                      <w:rFonts w:ascii="Arial" w:hAnsi="Arial"/>
                      <w:color w:val="808080" w:themeColor="background1" w:themeShade="80"/>
                      <w:sz w:val="48"/>
                      <w:szCs w:val="48"/>
                    </w:rPr>
                  </w:pPr>
                  <w:r>
                    <w:rPr>
                      <w:rFonts w:ascii="Arial" w:hAnsi="Arial"/>
                      <w:color w:val="808080" w:themeColor="background1" w:themeShade="80"/>
                      <w:sz w:val="48"/>
                      <w:szCs w:val="48"/>
                    </w:rPr>
                    <w:t>CCG Commissioned/Managed Services Pharmacy and Ophthalmic Providers</w:t>
                  </w:r>
                </w:p>
                <w:p w:rsidR="00775FC3" w:rsidRPr="001230A7" w:rsidRDefault="00775FC3" w:rsidP="001230A7">
                  <w:pPr>
                    <w:rPr>
                      <w:szCs w:val="48"/>
                    </w:rPr>
                  </w:pPr>
                </w:p>
              </w:txbxContent>
            </v:textbox>
            <w10:wrap anchorx="page" anchory="page"/>
          </v:shape>
        </w:pict>
      </w:r>
      <w:r w:rsidR="0091305E" w:rsidRPr="000272CF">
        <w:rPr>
          <w:rFonts w:hint="eastAsia"/>
          <w:sz w:val="22"/>
          <w:szCs w:val="22"/>
        </w:rPr>
        <w:br w:type="page"/>
      </w:r>
      <w:r w:rsidR="001230A7">
        <w:lastRenderedPageBreak/>
        <w:t>Dear Colleague,</w:t>
      </w:r>
    </w:p>
    <w:p w:rsidR="001230A7" w:rsidRDefault="001230A7" w:rsidP="001230A7">
      <w:r>
        <w:t>As of 1</w:t>
      </w:r>
      <w:r w:rsidRPr="00DE08B2">
        <w:rPr>
          <w:vertAlign w:val="superscript"/>
        </w:rPr>
        <w:t>st</w:t>
      </w:r>
      <w:r>
        <w:t xml:space="preserve"> April 2013; the following processes will apply to enable Pharmacy and Ophthalmic providers to submit claim forms and subsequently receive payments for provision of their Local Enhanced Services.</w:t>
      </w:r>
    </w:p>
    <w:p w:rsidR="001230A7" w:rsidRDefault="001230A7" w:rsidP="001230A7">
      <w:r>
        <w:t>Below are examples of processes that have been adopted in the past and the new process which will supersede them:</w:t>
      </w:r>
    </w:p>
    <w:p w:rsidR="001230A7" w:rsidRDefault="001230A7" w:rsidP="001230A7">
      <w:pPr>
        <w:rPr>
          <w:b/>
        </w:rPr>
      </w:pPr>
      <w:r w:rsidRPr="003D0545">
        <w:rPr>
          <w:b/>
        </w:rPr>
        <w:t>PAST</w:t>
      </w:r>
      <w:r>
        <w:rPr>
          <w:b/>
        </w:rPr>
        <w:t xml:space="preserve"> PROCESSES</w:t>
      </w:r>
      <w:r w:rsidRPr="003D0545">
        <w:rPr>
          <w:b/>
        </w:rPr>
        <w:t>:</w:t>
      </w:r>
      <w:r>
        <w:rPr>
          <w:b/>
        </w:rPr>
        <w:t xml:space="preserve"> </w:t>
      </w:r>
    </w:p>
    <w:p w:rsidR="001230A7" w:rsidRDefault="001230A7" w:rsidP="001230A7">
      <w:pPr>
        <w:rPr>
          <w:lang w:val="en-GB"/>
        </w:rPr>
      </w:pPr>
      <w:r w:rsidRPr="009E2D9B">
        <w:rPr>
          <w:b/>
          <w:u w:val="single"/>
        </w:rPr>
        <w:t>Route 1:</w:t>
      </w:r>
      <w:r>
        <w:rPr>
          <w:b/>
        </w:rPr>
        <w:t xml:space="preserve"> </w:t>
      </w:r>
      <w:r w:rsidRPr="007C43F5">
        <w:rPr>
          <w:lang w:val="en-GB"/>
        </w:rPr>
        <w:t>PCT receives, validates and processes</w:t>
      </w:r>
      <w:r>
        <w:rPr>
          <w:lang w:val="en-GB"/>
        </w:rPr>
        <w:t xml:space="preserve"> paper</w:t>
      </w:r>
      <w:r w:rsidRPr="007C43F5">
        <w:rPr>
          <w:lang w:val="en-GB"/>
        </w:rPr>
        <w:t xml:space="preserve"> claim – in this scenario, providers would submit </w:t>
      </w:r>
      <w:r>
        <w:rPr>
          <w:lang w:val="en-GB"/>
        </w:rPr>
        <w:t xml:space="preserve">paper </w:t>
      </w:r>
      <w:r w:rsidRPr="007C43F5">
        <w:rPr>
          <w:lang w:val="en-GB"/>
        </w:rPr>
        <w:t>claims directly to the PCT</w:t>
      </w:r>
      <w:r>
        <w:rPr>
          <w:lang w:val="en-GB"/>
        </w:rPr>
        <w:t>. The PCT would then validate and make the relevant payment directly to the provider, or via the PPA Local Scheme system.</w:t>
      </w:r>
    </w:p>
    <w:p w:rsidR="001230A7" w:rsidRPr="0049458A" w:rsidRDefault="001230A7" w:rsidP="001230A7">
      <w:pPr>
        <w:rPr>
          <w:b/>
          <w:lang w:val="en-GB"/>
        </w:rPr>
      </w:pPr>
      <w:r w:rsidRPr="0070798C">
        <w:rPr>
          <w:b/>
          <w:lang w:val="en-GB"/>
        </w:rPr>
        <w:t>SUPERSEDING PROCESS:</w:t>
      </w:r>
      <w:r>
        <w:rPr>
          <w:b/>
          <w:lang w:val="en-GB"/>
        </w:rPr>
        <w:t xml:space="preserve"> </w:t>
      </w:r>
      <w:r>
        <w:rPr>
          <w:lang w:val="en-GB"/>
        </w:rPr>
        <w:t xml:space="preserve">The new process will require Providers to submit claims via a pro-forma </w:t>
      </w:r>
      <w:r w:rsidRPr="00CE07CF">
        <w:rPr>
          <w:b/>
          <w:lang w:val="en-GB"/>
        </w:rPr>
        <w:t>(Appendix 1)</w:t>
      </w:r>
      <w:r>
        <w:rPr>
          <w:lang w:val="en-GB"/>
        </w:rPr>
        <w:t xml:space="preserve"> to the Greater Manchester Commissioning Support Unit (address and contact details are below). </w:t>
      </w:r>
    </w:p>
    <w:p w:rsidR="001230A7" w:rsidRDefault="001230A7" w:rsidP="001230A7">
      <w:pPr>
        <w:rPr>
          <w:lang w:val="en-GB"/>
        </w:rPr>
      </w:pPr>
      <w:r>
        <w:rPr>
          <w:lang w:val="en-GB"/>
        </w:rPr>
        <w:t xml:space="preserve">The provider will need to populate the pro-forma with details of all of the services for which they are claiming (including associated activity and cost) and attach relevant backing information to it to enable validation of the claim. </w:t>
      </w:r>
    </w:p>
    <w:p w:rsidR="001230A7" w:rsidRDefault="001230A7" w:rsidP="001230A7">
      <w:pPr>
        <w:rPr>
          <w:lang w:val="en-GB"/>
        </w:rPr>
      </w:pPr>
      <w:r>
        <w:rPr>
          <w:lang w:val="en-GB"/>
        </w:rPr>
        <w:t>The pro-forma and attached backing data is validated by the CSU and an instruction is sent to SBS in order for them to add to Oracle.</w:t>
      </w:r>
    </w:p>
    <w:p w:rsidR="001230A7" w:rsidRDefault="001230A7" w:rsidP="001230A7">
      <w:pPr>
        <w:rPr>
          <w:lang w:val="en-GB"/>
        </w:rPr>
      </w:pPr>
      <w:r>
        <w:rPr>
          <w:lang w:val="en-GB"/>
        </w:rPr>
        <w:t>Any queries relating to validation will be shared with the relevant CCG and providers will be contacted. They may be required to provide alternative and/or additional backing information before payment can be made (dependent on requirements detailed within the service specification).</w:t>
      </w:r>
    </w:p>
    <w:p w:rsidR="001230A7" w:rsidRDefault="001230A7" w:rsidP="001230A7">
      <w:pPr>
        <w:rPr>
          <w:lang w:val="en-GB"/>
        </w:rPr>
      </w:pPr>
      <w:r>
        <w:rPr>
          <w:lang w:val="en-GB"/>
        </w:rPr>
        <w:t>As such:</w:t>
      </w:r>
    </w:p>
    <w:p w:rsidR="001230A7" w:rsidRPr="0070798C" w:rsidRDefault="001230A7" w:rsidP="001230A7">
      <w:pPr>
        <w:rPr>
          <w:lang w:val="en-GB"/>
        </w:rPr>
      </w:pPr>
      <w:r>
        <w:rPr>
          <w:noProof/>
          <w:lang w:val="en-GB" w:eastAsia="en-GB"/>
        </w:rPr>
        <w:drawing>
          <wp:inline distT="0" distB="0" distL="0" distR="0" wp14:anchorId="0DCCE8EB" wp14:editId="09102AD5">
            <wp:extent cx="5943600" cy="1819275"/>
            <wp:effectExtent l="0" t="0" r="0" b="0"/>
            <wp:docPr id="1" name="Object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69759" cy="2313888"/>
                      <a:chOff x="827584" y="1797691"/>
                      <a:chExt cx="7569759" cy="2313888"/>
                    </a:xfrm>
                  </a:grpSpPr>
                  <a:sp>
                    <a:nvSpPr>
                      <a:cNvPr id="19" name="Rectangle 18"/>
                      <a:cNvSpPr/>
                    </a:nvSpPr>
                    <a:spPr bwMode="auto">
                      <a:xfrm>
                        <a:off x="2674961" y="2132856"/>
                        <a:ext cx="3697239" cy="1944216"/>
                      </a:xfrm>
                      <a:prstGeom prst="rect">
                        <a:avLst/>
                      </a:prstGeom>
                      <a:solidFill>
                        <a:srgbClr val="FF9966">
                          <a:alpha val="50000"/>
                        </a:srgbClr>
                      </a:solidFill>
                      <a:ln w="19050" cap="flat" cmpd="sng" algn="ctr">
                        <a:solidFill>
                          <a:srgbClr val="FF9933"/>
                        </a:solidFill>
                        <a:prstDash val="dash"/>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l" defTabSz="914400" rtl="0" eaLnBrk="1" fontAlgn="base" latinLnBrk="0" hangingPunct="1">
                            <a:lnSpc>
                              <a:spcPct val="100000"/>
                            </a:lnSpc>
                            <a:spcBef>
                              <a:spcPts val="450"/>
                            </a:spcBef>
                            <a:spcAft>
                              <a:spcPct val="0"/>
                            </a:spcAft>
                            <a:buClrTx/>
                            <a:buSzTx/>
                            <a:buFontTx/>
                            <a:buNone/>
                            <a:tabLst/>
                          </a:pPr>
                          <a:endParaRPr kumimoji="0" lang="en-US" sz="2000" b="0" i="0" u="none" strike="noStrike" cap="none" normalizeH="0" baseline="0" dirty="0" smtClean="0">
                            <a:ln>
                              <a:noFill/>
                            </a:ln>
                            <a:solidFill>
                              <a:srgbClr val="2666A6"/>
                            </a:solidFill>
                            <a:effectLst/>
                            <a:latin typeface="Arial" charset="0"/>
                            <a:ea typeface="ヒラギノ角ゴ ProN W3" charset="0"/>
                            <a:cs typeface="ヒラギノ角ゴ ProN W3" charset="0"/>
                            <a:sym typeface="Arial" charset="0"/>
                          </a:endParaRPr>
                        </a:p>
                      </a:txBody>
                      <a:useSpRect/>
                    </a:txSp>
                  </a:sp>
                  <a:sp>
                    <a:nvSpPr>
                      <a:cNvPr id="6" name="Rectangle 5"/>
                      <a:cNvSpPr/>
                    </a:nvSpPr>
                    <a:spPr bwMode="auto">
                      <a:xfrm>
                        <a:off x="827584" y="2621477"/>
                        <a:ext cx="1224136" cy="936104"/>
                      </a:xfrm>
                      <a:prstGeom prst="rect">
                        <a:avLst/>
                      </a:prstGeom>
                      <a:ln>
                        <a:headEnd type="none" w="med" len="med"/>
                        <a:tailEnd type="none" w="med" len="med"/>
                      </a:ln>
                    </a:spPr>
                    <a:txSp>
                      <a:txBody>
                        <a:bodyPr vert="horz" wrap="square" lIns="91440" tIns="45720" rIns="91440" bIns="45720" numCol="1" rtlCol="0" anchor="t" anchorCtr="0" compatLnSpc="1">
                          <a:prstTxWarp prst="textNoShape">
                            <a:avLst/>
                          </a:prstTxWarp>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0" marR="0" indent="0" algn="ctr" defTabSz="914400" rtl="0" eaLnBrk="1" fontAlgn="base" latinLnBrk="0" hangingPunct="1">
                            <a:lnSpc>
                              <a:spcPct val="100000"/>
                            </a:lnSpc>
                            <a:spcBef>
                              <a:spcPts val="450"/>
                            </a:spcBef>
                            <a:spcAft>
                              <a:spcPct val="0"/>
                            </a:spcAft>
                            <a:buClrTx/>
                            <a:buSzTx/>
                            <a:buFontTx/>
                            <a:buNone/>
                            <a:tabLst/>
                          </a:pPr>
                          <a:r>
                            <a:rPr lang="en-US" sz="1000" dirty="0" smtClean="0">
                              <a:solidFill>
                                <a:schemeClr val="bg1"/>
                              </a:solidFill>
                              <a:latin typeface="Arial" charset="0"/>
                              <a:ea typeface="ヒラギノ角ゴ ProN W3" charset="0"/>
                              <a:cs typeface="ヒラギノ角ゴ ProN W3" charset="0"/>
                              <a:sym typeface="Arial" charset="0"/>
                            </a:rPr>
                            <a:t>Contractors complete </a:t>
                          </a:r>
                          <a:r>
                            <a:rPr lang="en-US" sz="1000" dirty="0" smtClean="0">
                              <a:solidFill>
                                <a:schemeClr val="bg1"/>
                              </a:solidFill>
                              <a:latin typeface="Arial" charset="0"/>
                              <a:ea typeface="ヒラギノ角ゴ ProN W3" charset="0"/>
                              <a:cs typeface="ヒラギノ角ゴ ProN W3" charset="0"/>
                              <a:sym typeface="Arial" charset="0"/>
                            </a:rPr>
                            <a:t>proforma &amp; send (with relevant backing data) to CSU</a:t>
                          </a:r>
                          <a:endParaRPr kumimoji="0" lang="en-US" sz="1000" b="0" i="0" u="none" strike="noStrike" cap="none" normalizeH="0" baseline="0" dirty="0" smtClean="0">
                            <a:ln>
                              <a:noFill/>
                            </a:ln>
                            <a:solidFill>
                              <a:schemeClr val="bg1"/>
                            </a:solidFill>
                            <a:effectLst/>
                            <a:latin typeface="Arial" charset="0"/>
                            <a:ea typeface="ヒラギノ角ゴ ProN W3" charset="0"/>
                            <a:cs typeface="ヒラギノ角ゴ ProN W3" charset="0"/>
                            <a:sym typeface="Arial" charset="0"/>
                          </a:endParaRPr>
                        </a:p>
                      </a:txBody>
                      <a:useSpRect/>
                    </a:txSp>
                    <a:style>
                      <a:lnRef idx="0">
                        <a:schemeClr val="dk1"/>
                      </a:lnRef>
                      <a:fillRef idx="3">
                        <a:schemeClr val="dk1"/>
                      </a:fillRef>
                      <a:effectRef idx="3">
                        <a:schemeClr val="dk1"/>
                      </a:effectRef>
                      <a:fontRef idx="minor">
                        <a:schemeClr val="lt1"/>
                      </a:fontRef>
                    </a:style>
                  </a:sp>
                  <a:sp>
                    <a:nvSpPr>
                      <a:cNvPr id="7" name="Rectangle 6"/>
                      <a:cNvSpPr/>
                    </a:nvSpPr>
                    <a:spPr bwMode="auto">
                      <a:xfrm>
                        <a:off x="2858782" y="2621477"/>
                        <a:ext cx="1224136" cy="936104"/>
                      </a:xfrm>
                      <a:prstGeom prst="rect">
                        <a:avLst/>
                      </a:prstGeom>
                      <a:ln>
                        <a:headEnd type="none" w="med" len="med"/>
                        <a:tailEnd type="none" w="med" len="med"/>
                      </a:ln>
                    </a:spPr>
                    <a:txSp>
                      <a:txBody>
                        <a:bodyPr vert="horz" wrap="square" lIns="91440" tIns="45720" rIns="91440" bIns="45720" numCol="1" rtlCol="0" anchor="t" anchorCtr="0" compatLnSpc="1">
                          <a:prstTxWarp prst="textNoShape">
                            <a:avLst/>
                          </a:prstTxWarp>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0" marR="0" indent="0" algn="ctr" defTabSz="914400" rtl="0" eaLnBrk="1" fontAlgn="base" latinLnBrk="0" hangingPunct="1">
                            <a:lnSpc>
                              <a:spcPct val="100000"/>
                            </a:lnSpc>
                            <a:spcBef>
                              <a:spcPts val="450"/>
                            </a:spcBef>
                            <a:spcAft>
                              <a:spcPct val="0"/>
                            </a:spcAft>
                            <a:buClrTx/>
                            <a:buSzTx/>
                            <a:buFontTx/>
                            <a:buNone/>
                            <a:tabLst/>
                          </a:pPr>
                          <a:r>
                            <a:rPr lang="en-US" sz="1000" dirty="0" smtClean="0">
                              <a:solidFill>
                                <a:schemeClr val="bg1"/>
                              </a:solidFill>
                              <a:latin typeface="Arial" charset="0"/>
                              <a:ea typeface="ヒラギノ角ゴ ProN W3" charset="0"/>
                              <a:cs typeface="ヒラギノ角ゴ ProN W3" charset="0"/>
                              <a:sym typeface="Arial" charset="0"/>
                            </a:rPr>
                            <a:t>CSU </a:t>
                          </a:r>
                          <a:r>
                            <a:rPr lang="en-US" sz="1000" dirty="0" smtClean="0">
                              <a:solidFill>
                                <a:schemeClr val="bg1"/>
                              </a:solidFill>
                              <a:latin typeface="Arial" charset="0"/>
                              <a:ea typeface="ヒラギノ角ゴ ProN W3" charset="0"/>
                              <a:cs typeface="ヒラギノ角ゴ ProN W3" charset="0"/>
                              <a:sym typeface="Arial" charset="0"/>
                            </a:rPr>
                            <a:t>receive claim form</a:t>
                          </a:r>
                          <a:endParaRPr kumimoji="0" lang="en-US" sz="1000" b="0" i="0" u="none" strike="noStrike" cap="none" normalizeH="0" baseline="0" dirty="0" smtClean="0">
                            <a:ln>
                              <a:noFill/>
                            </a:ln>
                            <a:solidFill>
                              <a:schemeClr val="bg1"/>
                            </a:solidFill>
                            <a:effectLst/>
                            <a:latin typeface="Arial" charset="0"/>
                            <a:ea typeface="ヒラギノ角ゴ ProN W3" charset="0"/>
                            <a:cs typeface="ヒラギノ角ゴ ProN W3" charset="0"/>
                            <a:sym typeface="Arial" charset="0"/>
                          </a:endParaRPr>
                        </a:p>
                      </a:txBody>
                      <a:useSpRect/>
                    </a:txSp>
                    <a:style>
                      <a:lnRef idx="0">
                        <a:schemeClr val="dk1"/>
                      </a:lnRef>
                      <a:fillRef idx="3">
                        <a:schemeClr val="dk1"/>
                      </a:fillRef>
                      <a:effectRef idx="3">
                        <a:schemeClr val="dk1"/>
                      </a:effectRef>
                      <a:fontRef idx="minor">
                        <a:schemeClr val="lt1"/>
                      </a:fontRef>
                    </a:style>
                  </a:sp>
                  <a:sp>
                    <a:nvSpPr>
                      <a:cNvPr id="8" name="Rectangle 7"/>
                      <a:cNvSpPr/>
                    </a:nvSpPr>
                    <a:spPr bwMode="auto">
                      <a:xfrm>
                        <a:off x="4889980" y="2621477"/>
                        <a:ext cx="1224136" cy="936104"/>
                      </a:xfrm>
                      <a:prstGeom prst="rect">
                        <a:avLst/>
                      </a:prstGeom>
                      <a:ln>
                        <a:headEnd type="none" w="med" len="med"/>
                        <a:tailEnd type="none" w="med" len="med"/>
                      </a:ln>
                    </a:spPr>
                    <a:txSp>
                      <a:txBody>
                        <a:bodyPr vert="horz" wrap="square" lIns="91440" tIns="45720" rIns="91440" bIns="45720" numCol="1" rtlCol="0" anchor="t" anchorCtr="0" compatLnSpc="1">
                          <a:prstTxWarp prst="textNoShape">
                            <a:avLst/>
                          </a:prstTxWarp>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0" marR="0" indent="0" algn="ctr" defTabSz="914400" rtl="0" eaLnBrk="1" fontAlgn="base" latinLnBrk="0" hangingPunct="1">
                            <a:lnSpc>
                              <a:spcPct val="100000"/>
                            </a:lnSpc>
                            <a:spcBef>
                              <a:spcPts val="450"/>
                            </a:spcBef>
                            <a:spcAft>
                              <a:spcPct val="0"/>
                            </a:spcAft>
                            <a:buClrTx/>
                            <a:buSzTx/>
                            <a:buFontTx/>
                            <a:buNone/>
                            <a:tabLst/>
                          </a:pPr>
                          <a:r>
                            <a:rPr lang="en-US" sz="1000" dirty="0" smtClean="0">
                              <a:solidFill>
                                <a:schemeClr val="bg1"/>
                              </a:solidFill>
                              <a:latin typeface="Arial" charset="0"/>
                              <a:ea typeface="ヒラギノ角ゴ ProN W3" charset="0"/>
                              <a:cs typeface="ヒラギノ角ゴ ProN W3" charset="0"/>
                              <a:sym typeface="Arial" charset="0"/>
                            </a:rPr>
                            <a:t>Claim is validated </a:t>
                          </a:r>
                          <a:r>
                            <a:rPr lang="en-US" sz="1000" dirty="0" smtClean="0">
                              <a:solidFill>
                                <a:schemeClr val="bg1"/>
                              </a:solidFill>
                              <a:latin typeface="Arial" charset="0"/>
                              <a:ea typeface="ヒラギノ角ゴ ProN W3" charset="0"/>
                              <a:cs typeface="ヒラギノ角ゴ ProN W3" charset="0"/>
                              <a:sym typeface="Arial" charset="0"/>
                            </a:rPr>
                            <a:t>by CSU</a:t>
                          </a:r>
                          <a:endParaRPr lang="en-US" sz="1000" dirty="0" smtClean="0">
                            <a:solidFill>
                              <a:schemeClr val="bg1"/>
                            </a:solidFill>
                            <a:latin typeface="Arial" charset="0"/>
                            <a:ea typeface="ヒラギノ角ゴ ProN W3" charset="0"/>
                            <a:cs typeface="ヒラギノ角ゴ ProN W3" charset="0"/>
                            <a:sym typeface="Arial" charset="0"/>
                          </a:endParaRPr>
                        </a:p>
                      </a:txBody>
                      <a:useSpRect/>
                    </a:txSp>
                    <a:style>
                      <a:lnRef idx="0">
                        <a:schemeClr val="dk1"/>
                      </a:lnRef>
                      <a:fillRef idx="3">
                        <a:schemeClr val="dk1"/>
                      </a:fillRef>
                      <a:effectRef idx="3">
                        <a:schemeClr val="dk1"/>
                      </a:effectRef>
                      <a:fontRef idx="minor">
                        <a:schemeClr val="lt1"/>
                      </a:fontRef>
                    </a:style>
                  </a:sp>
                  <a:sp>
                    <a:nvSpPr>
                      <a:cNvPr id="9" name="Rectangle 8"/>
                      <a:cNvSpPr/>
                    </a:nvSpPr>
                    <a:spPr bwMode="auto">
                      <a:xfrm>
                        <a:off x="6921179" y="2621477"/>
                        <a:ext cx="1224136" cy="936104"/>
                      </a:xfrm>
                      <a:prstGeom prst="rect">
                        <a:avLst/>
                      </a:prstGeom>
                      <a:ln>
                        <a:headEnd type="none" w="med" len="med"/>
                        <a:tailEnd type="none" w="med" len="med"/>
                      </a:ln>
                    </a:spPr>
                    <a:txSp>
                      <a:txBody>
                        <a:bodyPr vert="horz" wrap="square" lIns="91440" tIns="45720" rIns="91440" bIns="45720" numCol="1" rtlCol="0" anchor="t" anchorCtr="0" compatLnSpc="1">
                          <a:prstTxWarp prst="textNoShape">
                            <a:avLst/>
                          </a:prstTxWarp>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0" marR="0" indent="0" algn="ctr" defTabSz="914400" rtl="0" eaLnBrk="1" fontAlgn="base" latinLnBrk="0" hangingPunct="1">
                            <a:lnSpc>
                              <a:spcPct val="100000"/>
                            </a:lnSpc>
                            <a:spcBef>
                              <a:spcPts val="450"/>
                            </a:spcBef>
                            <a:spcAft>
                              <a:spcPct val="0"/>
                            </a:spcAft>
                            <a:buClrTx/>
                            <a:buSzTx/>
                            <a:buFontTx/>
                            <a:buNone/>
                            <a:tabLst/>
                          </a:pPr>
                          <a:r>
                            <a:rPr lang="en-US" sz="1000" dirty="0" smtClean="0">
                              <a:solidFill>
                                <a:schemeClr val="bg1"/>
                              </a:solidFill>
                              <a:latin typeface="Arial" charset="0"/>
                              <a:ea typeface="ヒラギノ角ゴ ProN W3" charset="0"/>
                              <a:cs typeface="ヒラギノ角ゴ ProN W3" charset="0"/>
                              <a:sym typeface="Arial" charset="0"/>
                            </a:rPr>
                            <a:t>Claim is paid</a:t>
                          </a:r>
                        </a:p>
                        <a:p>
                          <a:pPr marL="0" marR="0" indent="0" defTabSz="914400" rtl="0" eaLnBrk="1" fontAlgn="base" latinLnBrk="0" hangingPunct="1">
                            <a:lnSpc>
                              <a:spcPct val="100000"/>
                            </a:lnSpc>
                            <a:spcBef>
                              <a:spcPts val="450"/>
                            </a:spcBef>
                            <a:spcAft>
                              <a:spcPct val="0"/>
                            </a:spcAft>
                            <a:buClrTx/>
                            <a:buSzTx/>
                            <a:buFontTx/>
                            <a:buNone/>
                            <a:tabLst/>
                          </a:pPr>
                          <a:r>
                            <a:rPr lang="en-US" sz="800" dirty="0" smtClean="0">
                              <a:solidFill>
                                <a:schemeClr val="bg1"/>
                              </a:solidFill>
                              <a:latin typeface="Arial" charset="0"/>
                              <a:ea typeface="ヒラギノ角ゴ ProN W3" charset="0"/>
                              <a:cs typeface="ヒラギノ角ゴ ProN W3" charset="0"/>
                              <a:sym typeface="Arial" charset="0"/>
                            </a:rPr>
                            <a:t>Pro-forma for payment is sent to SBS  </a:t>
                          </a:r>
                          <a:r>
                            <a:rPr lang="en-US" sz="800" dirty="0" smtClean="0">
                              <a:solidFill>
                                <a:schemeClr val="bg1"/>
                              </a:solidFill>
                              <a:latin typeface="Arial" charset="0"/>
                              <a:ea typeface="ヒラギノ角ゴ ProN W3" charset="0"/>
                              <a:cs typeface="ヒラギノ角ゴ ProN W3" charset="0"/>
                              <a:sym typeface="Arial" charset="0"/>
                            </a:rPr>
                            <a:t>who enter onto the Oracle system </a:t>
                          </a:r>
                          <a:r>
                            <a:rPr lang="en-US" sz="800" dirty="0" smtClean="0">
                              <a:solidFill>
                                <a:schemeClr val="bg1"/>
                              </a:solidFill>
                              <a:latin typeface="Arial" charset="0"/>
                              <a:ea typeface="ヒラギノ角ゴ ProN W3" charset="0"/>
                              <a:cs typeface="ヒラギノ角ゴ ProN W3" charset="0"/>
                              <a:sym typeface="Arial" charset="0"/>
                            </a:rPr>
                            <a:t>for </a:t>
                          </a:r>
                          <a:r>
                            <a:rPr lang="en-US" sz="800" dirty="0" err="1" smtClean="0">
                              <a:solidFill>
                                <a:schemeClr val="bg1"/>
                              </a:solidFill>
                              <a:latin typeface="Arial" charset="0"/>
                              <a:ea typeface="ヒラギノ角ゴ ProN W3" charset="0"/>
                              <a:cs typeface="ヒラギノ角ゴ ProN W3" charset="0"/>
                              <a:sym typeface="Arial" charset="0"/>
                            </a:rPr>
                            <a:t>authorising</a:t>
                          </a:r>
                          <a:endParaRPr lang="en-US" sz="800" dirty="0" smtClean="0">
                            <a:solidFill>
                              <a:schemeClr val="bg1"/>
                            </a:solidFill>
                            <a:latin typeface="Arial" charset="0"/>
                            <a:ea typeface="ヒラギノ角ゴ ProN W3" charset="0"/>
                            <a:cs typeface="ヒラギノ角ゴ ProN W3" charset="0"/>
                            <a:sym typeface="Arial" charset="0"/>
                          </a:endParaRPr>
                        </a:p>
                      </a:txBody>
                      <a:useSpRect/>
                    </a:txSp>
                    <a:style>
                      <a:lnRef idx="0">
                        <a:schemeClr val="dk1"/>
                      </a:lnRef>
                      <a:fillRef idx="3">
                        <a:schemeClr val="dk1"/>
                      </a:fillRef>
                      <a:effectRef idx="3">
                        <a:schemeClr val="dk1"/>
                      </a:effectRef>
                      <a:fontRef idx="minor">
                        <a:schemeClr val="lt1"/>
                      </a:fontRef>
                    </a:style>
                  </a:sp>
                  <a:cxnSp>
                    <a:nvCxnSpPr>
                      <a:cNvPr id="12" name="Straight Arrow Connector 11"/>
                      <a:cNvCxnSpPr>
                        <a:stCxn id="6" idx="3"/>
                        <a:endCxn id="7" idx="1"/>
                      </a:cNvCxnSpPr>
                    </a:nvCxnSpPr>
                    <a:spPr bwMode="auto">
                      <a:xfrm>
                        <a:off x="2051720" y="3089529"/>
                        <a:ext cx="807062" cy="0"/>
                      </a:xfrm>
                      <a:prstGeom prst="straightConnector1">
                        <a:avLst/>
                      </a:prstGeom>
                      <a:solidFill>
                        <a:schemeClr val="accent1"/>
                      </a:solidFill>
                      <a:ln w="9525" cap="flat" cmpd="sng" algn="ctr">
                        <a:solidFill>
                          <a:srgbClr val="3A4972"/>
                        </a:solidFill>
                        <a:prstDash val="solid"/>
                        <a:round/>
                        <a:headEnd type="none" w="med" len="med"/>
                        <a:tailEnd type="arrow"/>
                      </a:ln>
                      <a:effectLst/>
                    </a:spPr>
                  </a:cxnSp>
                  <a:cxnSp>
                    <a:nvCxnSpPr>
                      <a:cNvPr id="14" name="Straight Arrow Connector 13"/>
                      <a:cNvCxnSpPr>
                        <a:stCxn id="7" idx="3"/>
                        <a:endCxn id="8" idx="1"/>
                      </a:cNvCxnSpPr>
                    </a:nvCxnSpPr>
                    <a:spPr bwMode="auto">
                      <a:xfrm>
                        <a:off x="4082918" y="3089529"/>
                        <a:ext cx="807062" cy="0"/>
                      </a:xfrm>
                      <a:prstGeom prst="straightConnector1">
                        <a:avLst/>
                      </a:prstGeom>
                      <a:solidFill>
                        <a:schemeClr val="accent1"/>
                      </a:solidFill>
                      <a:ln w="9525" cap="flat" cmpd="sng" algn="ctr">
                        <a:solidFill>
                          <a:srgbClr val="3A4972"/>
                        </a:solidFill>
                        <a:prstDash val="solid"/>
                        <a:round/>
                        <a:headEnd type="none" w="med" len="med"/>
                        <a:tailEnd type="arrow"/>
                      </a:ln>
                      <a:effectLst/>
                    </a:spPr>
                  </a:cxnSp>
                  <a:cxnSp>
                    <a:nvCxnSpPr>
                      <a:cNvPr id="18" name="Straight Arrow Connector 17"/>
                      <a:cNvCxnSpPr>
                        <a:stCxn id="8" idx="3"/>
                        <a:endCxn id="9" idx="1"/>
                      </a:cNvCxnSpPr>
                    </a:nvCxnSpPr>
                    <a:spPr bwMode="auto">
                      <a:xfrm>
                        <a:off x="6114116" y="3089529"/>
                        <a:ext cx="807063" cy="0"/>
                      </a:xfrm>
                      <a:prstGeom prst="straightConnector1">
                        <a:avLst/>
                      </a:prstGeom>
                      <a:solidFill>
                        <a:schemeClr val="accent1"/>
                      </a:solidFill>
                      <a:ln w="9525" cap="flat" cmpd="sng" algn="ctr">
                        <a:solidFill>
                          <a:srgbClr val="3A4972"/>
                        </a:solidFill>
                        <a:prstDash val="solid"/>
                        <a:round/>
                        <a:headEnd type="none" w="med" len="med"/>
                        <a:tailEnd type="arrow"/>
                      </a:ln>
                      <a:effectLst/>
                    </a:spPr>
                  </a:cxnSp>
                  <a:sp>
                    <a:nvSpPr>
                      <a:cNvPr id="21" name="TextBox 20"/>
                      <a:cNvSpPr txBox="1"/>
                    </a:nvSpPr>
                    <a:spPr>
                      <a:xfrm>
                        <a:off x="2804190" y="2111590"/>
                        <a:ext cx="3513419" cy="24622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000" b="1" dirty="0" smtClean="0"/>
                            <a:t>The CSU will do this for all 12 CCGs as part of TPM</a:t>
                          </a:r>
                          <a:endParaRPr lang="en-US" sz="1000" b="1" dirty="0"/>
                        </a:p>
                      </a:txBody>
                      <a:useSpRect/>
                    </a:txSp>
                  </a:sp>
                  <a:sp>
                    <a:nvSpPr>
                      <a:cNvPr id="22" name="TextBox 21"/>
                      <a:cNvSpPr txBox="1"/>
                    </a:nvSpPr>
                    <a:spPr>
                      <a:xfrm>
                        <a:off x="6655503" y="1797691"/>
                        <a:ext cx="1728192" cy="86177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000" b="1" dirty="0" smtClean="0"/>
                            <a:t>The CSU will </a:t>
                          </a:r>
                          <a:r>
                            <a:rPr lang="en-US" sz="1000" b="1" dirty="0" smtClean="0"/>
                            <a:t>authorise claims via Oracle for those CCGs who have purchased the CSU finance product </a:t>
                          </a:r>
                          <a:endParaRPr lang="en-US" sz="1000" b="1" dirty="0"/>
                        </a:p>
                      </a:txBody>
                      <a:useSpRect/>
                    </a:txSp>
                  </a:sp>
                  <a:sp>
                    <a:nvSpPr>
                      <a:cNvPr id="24" name="TextBox 23"/>
                      <a:cNvSpPr txBox="1"/>
                    </a:nvSpPr>
                    <a:spPr>
                      <a:xfrm>
                        <a:off x="6669151" y="3557581"/>
                        <a:ext cx="1728192" cy="553998"/>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000" b="1" dirty="0" smtClean="0"/>
                            <a:t>The remaining 7 CCGs will need to </a:t>
                          </a:r>
                          <a:r>
                            <a:rPr lang="en-US" sz="1000" b="1" dirty="0" smtClean="0"/>
                            <a:t>authorise in </a:t>
                          </a:r>
                          <a:r>
                            <a:rPr lang="en-US" sz="1000" b="1" dirty="0" smtClean="0"/>
                            <a:t>house</a:t>
                          </a:r>
                          <a:endParaRPr lang="en-US" sz="1000" b="1" dirty="0"/>
                        </a:p>
                      </a:txBody>
                      <a:useSpRect/>
                    </a:txSp>
                  </a:sp>
                </lc:lockedCanvas>
              </a:graphicData>
            </a:graphic>
          </wp:inline>
        </w:drawing>
      </w:r>
    </w:p>
    <w:p w:rsidR="001230A7" w:rsidRDefault="001230A7" w:rsidP="001230A7">
      <w:pPr>
        <w:rPr>
          <w:b/>
          <w:u w:val="single"/>
          <w:lang w:val="en-GB"/>
        </w:rPr>
      </w:pPr>
    </w:p>
    <w:p w:rsidR="001230A7" w:rsidRDefault="001230A7" w:rsidP="001230A7">
      <w:pPr>
        <w:rPr>
          <w:b/>
          <w:u w:val="single"/>
          <w:lang w:val="en-GB"/>
        </w:rPr>
      </w:pPr>
    </w:p>
    <w:p w:rsidR="001230A7" w:rsidRDefault="001230A7" w:rsidP="001230A7">
      <w:pPr>
        <w:rPr>
          <w:b/>
          <w:u w:val="single"/>
          <w:lang w:val="en-GB"/>
        </w:rPr>
      </w:pPr>
    </w:p>
    <w:p w:rsidR="001230A7" w:rsidRDefault="001230A7" w:rsidP="001230A7">
      <w:pPr>
        <w:rPr>
          <w:b/>
          <w:u w:val="single"/>
          <w:lang w:val="en-GB"/>
        </w:rPr>
      </w:pPr>
    </w:p>
    <w:p w:rsidR="001230A7" w:rsidRDefault="001230A7" w:rsidP="001230A7">
      <w:pPr>
        <w:rPr>
          <w:lang w:val="en-GB"/>
        </w:rPr>
      </w:pPr>
      <w:r w:rsidRPr="009E2D9B">
        <w:rPr>
          <w:b/>
          <w:u w:val="single"/>
          <w:lang w:val="en-GB"/>
        </w:rPr>
        <w:lastRenderedPageBreak/>
        <w:t>Route 2:</w:t>
      </w:r>
      <w:r>
        <w:rPr>
          <w:b/>
          <w:u w:val="single"/>
          <w:lang w:val="en-GB"/>
        </w:rPr>
        <w:t xml:space="preserve"> </w:t>
      </w:r>
      <w:r>
        <w:rPr>
          <w:lang w:val="en-GB"/>
        </w:rPr>
        <w:t xml:space="preserve">Providers enter activity onto in-house electronic systems (e.g. </w:t>
      </w:r>
      <w:proofErr w:type="spellStart"/>
      <w:r>
        <w:rPr>
          <w:lang w:val="en-GB"/>
        </w:rPr>
        <w:t>Webstar</w:t>
      </w:r>
      <w:proofErr w:type="spellEnd"/>
      <w:r>
        <w:rPr>
          <w:lang w:val="en-GB"/>
        </w:rPr>
        <w:t xml:space="preserve"> or </w:t>
      </w:r>
      <w:proofErr w:type="spellStart"/>
      <w:r>
        <w:rPr>
          <w:lang w:val="en-GB"/>
        </w:rPr>
        <w:t>Pharmabase</w:t>
      </w:r>
      <w:proofErr w:type="spellEnd"/>
      <w:r>
        <w:rPr>
          <w:lang w:val="en-GB"/>
        </w:rPr>
        <w:t>) – in this scenario nominated PCT staff have historically accessed the relevant information by logging onto the systems used for collating the data (as above), validating and making claims.</w:t>
      </w:r>
    </w:p>
    <w:p w:rsidR="001230A7" w:rsidRDefault="001230A7" w:rsidP="001230A7">
      <w:pPr>
        <w:rPr>
          <w:b/>
          <w:lang w:val="en-GB"/>
        </w:rPr>
      </w:pPr>
      <w:r w:rsidRPr="0070798C">
        <w:rPr>
          <w:b/>
          <w:lang w:val="en-GB"/>
        </w:rPr>
        <w:t>SUPERSEDING PROCESS:</w:t>
      </w:r>
      <w:r>
        <w:rPr>
          <w:b/>
          <w:lang w:val="en-GB"/>
        </w:rPr>
        <w:t xml:space="preserve"> </w:t>
      </w:r>
    </w:p>
    <w:p w:rsidR="001230A7" w:rsidRDefault="001230A7" w:rsidP="001230A7">
      <w:pPr>
        <w:rPr>
          <w:lang w:val="en-GB"/>
        </w:rPr>
      </w:pPr>
      <w:r>
        <w:rPr>
          <w:lang w:val="en-GB"/>
        </w:rPr>
        <w:t xml:space="preserve">Where providers have used an electronic system to process payments historically; they should continue to do so. </w:t>
      </w:r>
    </w:p>
    <w:p w:rsidR="001230A7" w:rsidRDefault="001230A7" w:rsidP="001230A7">
      <w:pPr>
        <w:rPr>
          <w:lang w:val="en-GB"/>
        </w:rPr>
      </w:pPr>
      <w:r>
        <w:rPr>
          <w:lang w:val="en-GB"/>
        </w:rPr>
        <w:t>CSU staff will collate activity data by accessing the relevant systems. Once validated, this information will be transposed onto the pro-forma (Appendix 1) which will be sent to SBS in order for them to add to Oracle.</w:t>
      </w:r>
    </w:p>
    <w:p w:rsidR="001230A7" w:rsidRDefault="001230A7" w:rsidP="001230A7">
      <w:pPr>
        <w:rPr>
          <w:lang w:val="en-GB"/>
        </w:rPr>
      </w:pPr>
      <w:r>
        <w:rPr>
          <w:lang w:val="en-GB"/>
        </w:rPr>
        <w:t>As such:</w:t>
      </w:r>
    </w:p>
    <w:p w:rsidR="001230A7" w:rsidRPr="0049458A" w:rsidRDefault="001230A7" w:rsidP="001230A7">
      <w:pPr>
        <w:rPr>
          <w:lang w:val="en-GB"/>
        </w:rPr>
      </w:pPr>
      <w:r>
        <w:rPr>
          <w:noProof/>
          <w:lang w:val="en-GB" w:eastAsia="en-GB"/>
        </w:rPr>
        <w:drawing>
          <wp:inline distT="0" distB="0" distL="0" distR="0" wp14:anchorId="4C47EE57" wp14:editId="7E8F6BF3">
            <wp:extent cx="5943600" cy="1819275"/>
            <wp:effectExtent l="0" t="0" r="0" b="0"/>
            <wp:docPr id="2" name="Object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69759" cy="2313888"/>
                      <a:chOff x="827584" y="1797691"/>
                      <a:chExt cx="7569759" cy="2313888"/>
                    </a:xfrm>
                  </a:grpSpPr>
                  <a:sp>
                    <a:nvSpPr>
                      <a:cNvPr id="19" name="Rectangle 18"/>
                      <a:cNvSpPr/>
                    </a:nvSpPr>
                    <a:spPr bwMode="auto">
                      <a:xfrm>
                        <a:off x="2674961" y="2132856"/>
                        <a:ext cx="3697239" cy="1944216"/>
                      </a:xfrm>
                      <a:prstGeom prst="rect">
                        <a:avLst/>
                      </a:prstGeom>
                      <a:solidFill>
                        <a:srgbClr val="FF9966">
                          <a:alpha val="50000"/>
                        </a:srgbClr>
                      </a:solidFill>
                      <a:ln w="19050" cap="flat" cmpd="sng" algn="ctr">
                        <a:solidFill>
                          <a:srgbClr val="FF9933"/>
                        </a:solidFill>
                        <a:prstDash val="dash"/>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l" defTabSz="914400" rtl="0" eaLnBrk="1" fontAlgn="base" latinLnBrk="0" hangingPunct="1">
                            <a:lnSpc>
                              <a:spcPct val="100000"/>
                            </a:lnSpc>
                            <a:spcBef>
                              <a:spcPts val="450"/>
                            </a:spcBef>
                            <a:spcAft>
                              <a:spcPct val="0"/>
                            </a:spcAft>
                            <a:buClrTx/>
                            <a:buSzTx/>
                            <a:buFontTx/>
                            <a:buNone/>
                            <a:tabLst/>
                          </a:pPr>
                          <a:endParaRPr kumimoji="0" lang="en-US" sz="2000" b="0" i="0" u="none" strike="noStrike" cap="none" normalizeH="0" baseline="0" dirty="0" smtClean="0">
                            <a:ln>
                              <a:noFill/>
                            </a:ln>
                            <a:solidFill>
                              <a:srgbClr val="2666A6"/>
                            </a:solidFill>
                            <a:effectLst/>
                            <a:latin typeface="Arial" charset="0"/>
                            <a:ea typeface="ヒラギノ角ゴ ProN W3" charset="0"/>
                            <a:cs typeface="ヒラギノ角ゴ ProN W3" charset="0"/>
                            <a:sym typeface="Arial" charset="0"/>
                          </a:endParaRPr>
                        </a:p>
                      </a:txBody>
                      <a:useSpRect/>
                    </a:txSp>
                  </a:sp>
                  <a:sp>
                    <a:nvSpPr>
                      <a:cNvPr id="6" name="Rectangle 5"/>
                      <a:cNvSpPr/>
                    </a:nvSpPr>
                    <a:spPr bwMode="auto">
                      <a:xfrm>
                        <a:off x="827584" y="2621477"/>
                        <a:ext cx="1224136" cy="936104"/>
                      </a:xfrm>
                      <a:prstGeom prst="rect">
                        <a:avLst/>
                      </a:prstGeom>
                      <a:ln>
                        <a:headEnd type="none" w="med" len="med"/>
                        <a:tailEnd type="none" w="med" len="med"/>
                      </a:ln>
                    </a:spPr>
                    <a:txSp>
                      <a:txBody>
                        <a:bodyPr vert="horz" wrap="square" lIns="91440" tIns="45720" rIns="91440" bIns="45720" numCol="1" rtlCol="0" anchor="t" anchorCtr="0" compatLnSpc="1">
                          <a:prstTxWarp prst="textNoShape">
                            <a:avLst/>
                          </a:prstTxWarp>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0" marR="0" indent="0" algn="ctr" defTabSz="914400" rtl="0" eaLnBrk="1" fontAlgn="base" latinLnBrk="0" hangingPunct="1">
                            <a:lnSpc>
                              <a:spcPct val="100000"/>
                            </a:lnSpc>
                            <a:spcBef>
                              <a:spcPts val="450"/>
                            </a:spcBef>
                            <a:spcAft>
                              <a:spcPct val="0"/>
                            </a:spcAft>
                            <a:buClrTx/>
                            <a:buSzTx/>
                            <a:buFontTx/>
                            <a:buNone/>
                            <a:tabLst/>
                          </a:pPr>
                          <a:r>
                            <a:rPr lang="en-US" sz="1000" dirty="0" smtClean="0">
                              <a:solidFill>
                                <a:schemeClr val="bg1"/>
                              </a:solidFill>
                              <a:latin typeface="Arial" charset="0"/>
                              <a:ea typeface="ヒラギノ角ゴ ProN W3" charset="0"/>
                              <a:cs typeface="ヒラギノ角ゴ ProN W3" charset="0"/>
                              <a:sym typeface="Arial" charset="0"/>
                            </a:rPr>
                            <a:t>Contractors </a:t>
                          </a:r>
                          <a:r>
                            <a:rPr lang="en-US" sz="1000" dirty="0" smtClean="0">
                              <a:solidFill>
                                <a:schemeClr val="bg1"/>
                              </a:solidFill>
                              <a:latin typeface="Arial" charset="0"/>
                              <a:ea typeface="ヒラギノ角ゴ ProN W3" charset="0"/>
                              <a:cs typeface="ヒラギノ角ゴ ProN W3" charset="0"/>
                              <a:sym typeface="Arial" charset="0"/>
                            </a:rPr>
                            <a:t>input data onto electronic data capture system (</a:t>
                          </a:r>
                          <a:r>
                            <a:rPr lang="en-US" sz="1000" dirty="0" err="1" smtClean="0">
                              <a:solidFill>
                                <a:schemeClr val="bg1"/>
                              </a:solidFill>
                              <a:latin typeface="Arial" charset="0"/>
                              <a:ea typeface="ヒラギノ角ゴ ProN W3" charset="0"/>
                              <a:cs typeface="ヒラギノ角ゴ ProN W3" charset="0"/>
                              <a:sym typeface="Arial" charset="0"/>
                            </a:rPr>
                            <a:t>Webstar</a:t>
                          </a:r>
                          <a:r>
                            <a:rPr lang="en-US" sz="1000" dirty="0" smtClean="0">
                              <a:solidFill>
                                <a:schemeClr val="bg1"/>
                              </a:solidFill>
                              <a:latin typeface="Arial" charset="0"/>
                              <a:ea typeface="ヒラギノ角ゴ ProN W3" charset="0"/>
                              <a:cs typeface="ヒラギノ角ゴ ProN W3" charset="0"/>
                              <a:sym typeface="Arial" charset="0"/>
                            </a:rPr>
                            <a:t>, </a:t>
                          </a:r>
                          <a:r>
                            <a:rPr lang="en-US" sz="1000" dirty="0" err="1" smtClean="0">
                              <a:solidFill>
                                <a:schemeClr val="bg1"/>
                              </a:solidFill>
                              <a:latin typeface="Arial" charset="0"/>
                              <a:ea typeface="ヒラギノ角ゴ ProN W3" charset="0"/>
                              <a:cs typeface="ヒラギノ角ゴ ProN W3" charset="0"/>
                              <a:sym typeface="Arial" charset="0"/>
                            </a:rPr>
                            <a:t>Pharmabase</a:t>
                          </a:r>
                          <a:r>
                            <a:rPr lang="en-US" sz="1000" dirty="0" smtClean="0">
                              <a:solidFill>
                                <a:schemeClr val="bg1"/>
                              </a:solidFill>
                              <a:latin typeface="Arial" charset="0"/>
                              <a:ea typeface="ヒラギノ角ゴ ProN W3" charset="0"/>
                              <a:cs typeface="ヒラギノ角ゴ ProN W3" charset="0"/>
                              <a:sym typeface="Arial" charset="0"/>
                            </a:rPr>
                            <a:t>)</a:t>
                          </a:r>
                          <a:endParaRPr kumimoji="0" lang="en-US" sz="1000" b="0" i="0" u="none" strike="noStrike" cap="none" normalizeH="0" baseline="0" dirty="0" smtClean="0">
                            <a:ln>
                              <a:noFill/>
                            </a:ln>
                            <a:solidFill>
                              <a:schemeClr val="bg1"/>
                            </a:solidFill>
                            <a:effectLst/>
                            <a:latin typeface="Arial" charset="0"/>
                            <a:ea typeface="ヒラギノ角ゴ ProN W3" charset="0"/>
                            <a:cs typeface="ヒラギノ角ゴ ProN W3" charset="0"/>
                            <a:sym typeface="Arial" charset="0"/>
                          </a:endParaRPr>
                        </a:p>
                      </a:txBody>
                      <a:useSpRect/>
                    </a:txSp>
                    <a:style>
                      <a:lnRef idx="0">
                        <a:schemeClr val="dk1"/>
                      </a:lnRef>
                      <a:fillRef idx="3">
                        <a:schemeClr val="dk1"/>
                      </a:fillRef>
                      <a:effectRef idx="3">
                        <a:schemeClr val="dk1"/>
                      </a:effectRef>
                      <a:fontRef idx="minor">
                        <a:schemeClr val="lt1"/>
                      </a:fontRef>
                    </a:style>
                  </a:sp>
                  <a:sp>
                    <a:nvSpPr>
                      <a:cNvPr id="7" name="Rectangle 6"/>
                      <a:cNvSpPr/>
                    </a:nvSpPr>
                    <a:spPr bwMode="auto">
                      <a:xfrm>
                        <a:off x="2858782" y="2621477"/>
                        <a:ext cx="1224136" cy="936104"/>
                      </a:xfrm>
                      <a:prstGeom prst="rect">
                        <a:avLst/>
                      </a:prstGeom>
                      <a:ln>
                        <a:headEnd type="none" w="med" len="med"/>
                        <a:tailEnd type="none" w="med" len="med"/>
                      </a:ln>
                    </a:spPr>
                    <a:txSp>
                      <a:txBody>
                        <a:bodyPr vert="horz" wrap="square" lIns="91440" tIns="45720" rIns="91440" bIns="45720" numCol="1" rtlCol="0" anchor="t" anchorCtr="0" compatLnSpc="1">
                          <a:prstTxWarp prst="textNoShape">
                            <a:avLst/>
                          </a:prstTxWarp>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0" marR="0" indent="0" algn="ctr" defTabSz="914400" rtl="0" eaLnBrk="1" fontAlgn="base" latinLnBrk="0" hangingPunct="1">
                            <a:lnSpc>
                              <a:spcPct val="100000"/>
                            </a:lnSpc>
                            <a:spcBef>
                              <a:spcPts val="450"/>
                            </a:spcBef>
                            <a:spcAft>
                              <a:spcPct val="0"/>
                            </a:spcAft>
                            <a:buClrTx/>
                            <a:buSzTx/>
                            <a:buFontTx/>
                            <a:buNone/>
                            <a:tabLst/>
                          </a:pPr>
                          <a:r>
                            <a:rPr lang="en-US" sz="1000" dirty="0" smtClean="0">
                              <a:solidFill>
                                <a:schemeClr val="bg1"/>
                              </a:solidFill>
                              <a:latin typeface="Arial" charset="0"/>
                              <a:ea typeface="ヒラギノ角ゴ ProN W3" charset="0"/>
                              <a:cs typeface="ヒラギノ角ゴ ProN W3" charset="0"/>
                              <a:sym typeface="Arial" charset="0"/>
                            </a:rPr>
                            <a:t>CSU collate activity data by accessing relevant system</a:t>
                          </a:r>
                          <a:endParaRPr kumimoji="0" lang="en-US" sz="1000" b="0" i="0" u="none" strike="noStrike" cap="none" normalizeH="0" baseline="0" dirty="0" smtClean="0">
                            <a:ln>
                              <a:noFill/>
                            </a:ln>
                            <a:solidFill>
                              <a:schemeClr val="bg1"/>
                            </a:solidFill>
                            <a:effectLst/>
                            <a:latin typeface="Arial" charset="0"/>
                            <a:ea typeface="ヒラギノ角ゴ ProN W3" charset="0"/>
                            <a:cs typeface="ヒラギノ角ゴ ProN W3" charset="0"/>
                            <a:sym typeface="Arial" charset="0"/>
                          </a:endParaRPr>
                        </a:p>
                      </a:txBody>
                      <a:useSpRect/>
                    </a:txSp>
                    <a:style>
                      <a:lnRef idx="0">
                        <a:schemeClr val="dk1"/>
                      </a:lnRef>
                      <a:fillRef idx="3">
                        <a:schemeClr val="dk1"/>
                      </a:fillRef>
                      <a:effectRef idx="3">
                        <a:schemeClr val="dk1"/>
                      </a:effectRef>
                      <a:fontRef idx="minor">
                        <a:schemeClr val="lt1"/>
                      </a:fontRef>
                    </a:style>
                  </a:sp>
                  <a:sp>
                    <a:nvSpPr>
                      <a:cNvPr id="8" name="Rectangle 7"/>
                      <a:cNvSpPr/>
                    </a:nvSpPr>
                    <a:spPr bwMode="auto">
                      <a:xfrm>
                        <a:off x="4889980" y="2621477"/>
                        <a:ext cx="1224136" cy="936104"/>
                      </a:xfrm>
                      <a:prstGeom prst="rect">
                        <a:avLst/>
                      </a:prstGeom>
                      <a:ln>
                        <a:headEnd type="none" w="med" len="med"/>
                        <a:tailEnd type="none" w="med" len="med"/>
                      </a:ln>
                    </a:spPr>
                    <a:txSp>
                      <a:txBody>
                        <a:bodyPr vert="horz" wrap="square" lIns="91440" tIns="45720" rIns="91440" bIns="45720" numCol="1" rtlCol="0" anchor="t" anchorCtr="0" compatLnSpc="1">
                          <a:prstTxWarp prst="textNoShape">
                            <a:avLst/>
                          </a:prstTxWarp>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0" marR="0" indent="0" algn="ctr" defTabSz="914400" rtl="0" eaLnBrk="1" fontAlgn="base" latinLnBrk="0" hangingPunct="1">
                            <a:lnSpc>
                              <a:spcPct val="100000"/>
                            </a:lnSpc>
                            <a:spcBef>
                              <a:spcPts val="450"/>
                            </a:spcBef>
                            <a:spcAft>
                              <a:spcPct val="0"/>
                            </a:spcAft>
                            <a:buClrTx/>
                            <a:buSzTx/>
                            <a:buFontTx/>
                            <a:buNone/>
                            <a:tabLst/>
                          </a:pPr>
                          <a:r>
                            <a:rPr lang="en-US" sz="1000" dirty="0" smtClean="0">
                              <a:solidFill>
                                <a:schemeClr val="bg1"/>
                              </a:solidFill>
                              <a:latin typeface="Arial" charset="0"/>
                              <a:ea typeface="ヒラギノ角ゴ ProN W3" charset="0"/>
                              <a:cs typeface="ヒラギノ角ゴ ProN W3" charset="0"/>
                              <a:sym typeface="Arial" charset="0"/>
                            </a:rPr>
                            <a:t>Claim is validated </a:t>
                          </a:r>
                          <a:r>
                            <a:rPr lang="en-US" sz="1000" dirty="0" smtClean="0">
                              <a:solidFill>
                                <a:schemeClr val="bg1"/>
                              </a:solidFill>
                              <a:latin typeface="Arial" charset="0"/>
                              <a:ea typeface="ヒラギノ角ゴ ProN W3" charset="0"/>
                              <a:cs typeface="ヒラギノ角ゴ ProN W3" charset="0"/>
                              <a:sym typeface="Arial" charset="0"/>
                            </a:rPr>
                            <a:t>by CSU who populate pro-forma</a:t>
                          </a:r>
                          <a:endParaRPr lang="en-US" sz="1000" dirty="0" smtClean="0">
                            <a:solidFill>
                              <a:schemeClr val="bg1"/>
                            </a:solidFill>
                            <a:latin typeface="Arial" charset="0"/>
                            <a:ea typeface="ヒラギノ角ゴ ProN W3" charset="0"/>
                            <a:cs typeface="ヒラギノ角ゴ ProN W3" charset="0"/>
                            <a:sym typeface="Arial" charset="0"/>
                          </a:endParaRPr>
                        </a:p>
                      </a:txBody>
                      <a:useSpRect/>
                    </a:txSp>
                    <a:style>
                      <a:lnRef idx="0">
                        <a:schemeClr val="dk1"/>
                      </a:lnRef>
                      <a:fillRef idx="3">
                        <a:schemeClr val="dk1"/>
                      </a:fillRef>
                      <a:effectRef idx="3">
                        <a:schemeClr val="dk1"/>
                      </a:effectRef>
                      <a:fontRef idx="minor">
                        <a:schemeClr val="lt1"/>
                      </a:fontRef>
                    </a:style>
                  </a:sp>
                  <a:sp>
                    <a:nvSpPr>
                      <a:cNvPr id="9" name="Rectangle 8"/>
                      <a:cNvSpPr/>
                    </a:nvSpPr>
                    <a:spPr bwMode="auto">
                      <a:xfrm>
                        <a:off x="6921179" y="2621477"/>
                        <a:ext cx="1224136" cy="936104"/>
                      </a:xfrm>
                      <a:prstGeom prst="rect">
                        <a:avLst/>
                      </a:prstGeom>
                      <a:ln>
                        <a:headEnd type="none" w="med" len="med"/>
                        <a:tailEnd type="none" w="med" len="med"/>
                      </a:ln>
                    </a:spPr>
                    <a:txSp>
                      <a:txBody>
                        <a:bodyPr vert="horz" wrap="square" lIns="91440" tIns="45720" rIns="91440" bIns="45720" numCol="1" rtlCol="0" anchor="t" anchorCtr="0" compatLnSpc="1">
                          <a:prstTxWarp prst="textNoShape">
                            <a:avLst/>
                          </a:prstTxWarp>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0" marR="0" indent="0" algn="ctr" defTabSz="914400" rtl="0" eaLnBrk="1" fontAlgn="base" latinLnBrk="0" hangingPunct="1">
                            <a:lnSpc>
                              <a:spcPct val="100000"/>
                            </a:lnSpc>
                            <a:spcBef>
                              <a:spcPts val="450"/>
                            </a:spcBef>
                            <a:spcAft>
                              <a:spcPct val="0"/>
                            </a:spcAft>
                            <a:buClrTx/>
                            <a:buSzTx/>
                            <a:buFontTx/>
                            <a:buNone/>
                            <a:tabLst/>
                          </a:pPr>
                          <a:r>
                            <a:rPr lang="en-US" sz="1000" dirty="0" smtClean="0">
                              <a:solidFill>
                                <a:schemeClr val="bg1"/>
                              </a:solidFill>
                              <a:latin typeface="Arial" charset="0"/>
                              <a:ea typeface="ヒラギノ角ゴ ProN W3" charset="0"/>
                              <a:cs typeface="ヒラギノ角ゴ ProN W3" charset="0"/>
                              <a:sym typeface="Arial" charset="0"/>
                            </a:rPr>
                            <a:t>Claim is paid</a:t>
                          </a:r>
                        </a:p>
                        <a:p>
                          <a:pPr marL="0" marR="0" indent="0" defTabSz="914400" rtl="0" eaLnBrk="1" fontAlgn="base" latinLnBrk="0" hangingPunct="1">
                            <a:lnSpc>
                              <a:spcPct val="100000"/>
                            </a:lnSpc>
                            <a:spcBef>
                              <a:spcPts val="450"/>
                            </a:spcBef>
                            <a:spcAft>
                              <a:spcPct val="0"/>
                            </a:spcAft>
                            <a:buClrTx/>
                            <a:buSzTx/>
                            <a:buFontTx/>
                            <a:buNone/>
                            <a:tabLst/>
                          </a:pPr>
                          <a:r>
                            <a:rPr lang="en-US" sz="800" dirty="0" smtClean="0">
                              <a:solidFill>
                                <a:schemeClr val="bg1"/>
                              </a:solidFill>
                              <a:latin typeface="Arial" charset="0"/>
                              <a:ea typeface="ヒラギノ角ゴ ProN W3" charset="0"/>
                              <a:cs typeface="ヒラギノ角ゴ ProN W3" charset="0"/>
                              <a:sym typeface="Arial" charset="0"/>
                            </a:rPr>
                            <a:t>Pro-forma for payment is sent to SBS  </a:t>
                          </a:r>
                          <a:r>
                            <a:rPr lang="en-US" sz="800" dirty="0" smtClean="0">
                              <a:solidFill>
                                <a:schemeClr val="bg1"/>
                              </a:solidFill>
                              <a:latin typeface="Arial" charset="0"/>
                              <a:ea typeface="ヒラギノ角ゴ ProN W3" charset="0"/>
                              <a:cs typeface="ヒラギノ角ゴ ProN W3" charset="0"/>
                              <a:sym typeface="Arial" charset="0"/>
                            </a:rPr>
                            <a:t>who enter onto the Oracle system </a:t>
                          </a:r>
                          <a:r>
                            <a:rPr lang="en-US" sz="800" dirty="0" smtClean="0">
                              <a:solidFill>
                                <a:schemeClr val="bg1"/>
                              </a:solidFill>
                              <a:latin typeface="Arial" charset="0"/>
                              <a:ea typeface="ヒラギノ角ゴ ProN W3" charset="0"/>
                              <a:cs typeface="ヒラギノ角ゴ ProN W3" charset="0"/>
                              <a:sym typeface="Arial" charset="0"/>
                            </a:rPr>
                            <a:t>for authorising</a:t>
                          </a:r>
                          <a:endParaRPr lang="en-US" sz="800" dirty="0" smtClean="0">
                            <a:solidFill>
                              <a:schemeClr val="bg1"/>
                            </a:solidFill>
                            <a:latin typeface="Arial" charset="0"/>
                            <a:ea typeface="ヒラギノ角ゴ ProN W3" charset="0"/>
                            <a:cs typeface="ヒラギノ角ゴ ProN W3" charset="0"/>
                            <a:sym typeface="Arial" charset="0"/>
                          </a:endParaRPr>
                        </a:p>
                      </a:txBody>
                      <a:useSpRect/>
                    </a:txSp>
                    <a:style>
                      <a:lnRef idx="0">
                        <a:schemeClr val="dk1"/>
                      </a:lnRef>
                      <a:fillRef idx="3">
                        <a:schemeClr val="dk1"/>
                      </a:fillRef>
                      <a:effectRef idx="3">
                        <a:schemeClr val="dk1"/>
                      </a:effectRef>
                      <a:fontRef idx="minor">
                        <a:schemeClr val="lt1"/>
                      </a:fontRef>
                    </a:style>
                  </a:sp>
                  <a:cxnSp>
                    <a:nvCxnSpPr>
                      <a:cNvPr id="12" name="Straight Arrow Connector 11"/>
                      <a:cNvCxnSpPr>
                        <a:stCxn id="6" idx="3"/>
                        <a:endCxn id="7" idx="1"/>
                      </a:cNvCxnSpPr>
                    </a:nvCxnSpPr>
                    <a:spPr bwMode="auto">
                      <a:xfrm>
                        <a:off x="2051720" y="3089529"/>
                        <a:ext cx="807062" cy="0"/>
                      </a:xfrm>
                      <a:prstGeom prst="straightConnector1">
                        <a:avLst/>
                      </a:prstGeom>
                      <a:solidFill>
                        <a:schemeClr val="accent1"/>
                      </a:solidFill>
                      <a:ln w="9525" cap="flat" cmpd="sng" algn="ctr">
                        <a:solidFill>
                          <a:srgbClr val="3A4972"/>
                        </a:solidFill>
                        <a:prstDash val="solid"/>
                        <a:round/>
                        <a:headEnd type="none" w="med" len="med"/>
                        <a:tailEnd type="arrow"/>
                      </a:ln>
                      <a:effectLst/>
                    </a:spPr>
                  </a:cxnSp>
                  <a:cxnSp>
                    <a:nvCxnSpPr>
                      <a:cNvPr id="14" name="Straight Arrow Connector 13"/>
                      <a:cNvCxnSpPr>
                        <a:stCxn id="7" idx="3"/>
                        <a:endCxn id="8" idx="1"/>
                      </a:cNvCxnSpPr>
                    </a:nvCxnSpPr>
                    <a:spPr bwMode="auto">
                      <a:xfrm>
                        <a:off x="4082918" y="3089529"/>
                        <a:ext cx="807062" cy="0"/>
                      </a:xfrm>
                      <a:prstGeom prst="straightConnector1">
                        <a:avLst/>
                      </a:prstGeom>
                      <a:solidFill>
                        <a:schemeClr val="accent1"/>
                      </a:solidFill>
                      <a:ln w="9525" cap="flat" cmpd="sng" algn="ctr">
                        <a:solidFill>
                          <a:srgbClr val="3A4972"/>
                        </a:solidFill>
                        <a:prstDash val="solid"/>
                        <a:round/>
                        <a:headEnd type="none" w="med" len="med"/>
                        <a:tailEnd type="arrow"/>
                      </a:ln>
                      <a:effectLst/>
                    </a:spPr>
                  </a:cxnSp>
                  <a:cxnSp>
                    <a:nvCxnSpPr>
                      <a:cNvPr id="18" name="Straight Arrow Connector 17"/>
                      <a:cNvCxnSpPr>
                        <a:stCxn id="8" idx="3"/>
                        <a:endCxn id="9" idx="1"/>
                      </a:cNvCxnSpPr>
                    </a:nvCxnSpPr>
                    <a:spPr bwMode="auto">
                      <a:xfrm>
                        <a:off x="6114116" y="3089529"/>
                        <a:ext cx="807063" cy="0"/>
                      </a:xfrm>
                      <a:prstGeom prst="straightConnector1">
                        <a:avLst/>
                      </a:prstGeom>
                      <a:solidFill>
                        <a:schemeClr val="accent1"/>
                      </a:solidFill>
                      <a:ln w="9525" cap="flat" cmpd="sng" algn="ctr">
                        <a:solidFill>
                          <a:srgbClr val="3A4972"/>
                        </a:solidFill>
                        <a:prstDash val="solid"/>
                        <a:round/>
                        <a:headEnd type="none" w="med" len="med"/>
                        <a:tailEnd type="arrow"/>
                      </a:ln>
                      <a:effectLst/>
                    </a:spPr>
                  </a:cxnSp>
                  <a:sp>
                    <a:nvSpPr>
                      <a:cNvPr id="21" name="TextBox 20"/>
                      <a:cNvSpPr txBox="1"/>
                    </a:nvSpPr>
                    <a:spPr>
                      <a:xfrm>
                        <a:off x="2804190" y="2111590"/>
                        <a:ext cx="3513419" cy="24622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000" b="1" dirty="0" smtClean="0"/>
                            <a:t>The CSU will do this for all 12 CCGs as part of TPM</a:t>
                          </a:r>
                          <a:endParaRPr lang="en-US" sz="1000" b="1" dirty="0"/>
                        </a:p>
                      </a:txBody>
                      <a:useSpRect/>
                    </a:txSp>
                  </a:sp>
                  <a:sp>
                    <a:nvSpPr>
                      <a:cNvPr id="22" name="TextBox 21"/>
                      <a:cNvSpPr txBox="1"/>
                    </a:nvSpPr>
                    <a:spPr>
                      <a:xfrm>
                        <a:off x="6655503" y="1797691"/>
                        <a:ext cx="1728192" cy="86177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000" b="1" dirty="0" smtClean="0"/>
                            <a:t>The CSU will </a:t>
                          </a:r>
                          <a:r>
                            <a:rPr lang="en-US" sz="1000" b="1" dirty="0" smtClean="0"/>
                            <a:t>authorise claims via Oracle for those CCGs who have purchased the CSU finance product </a:t>
                          </a:r>
                          <a:endParaRPr lang="en-US" sz="1000" b="1" dirty="0"/>
                        </a:p>
                      </a:txBody>
                      <a:useSpRect/>
                    </a:txSp>
                  </a:sp>
                  <a:sp>
                    <a:nvSpPr>
                      <a:cNvPr id="24" name="TextBox 23"/>
                      <a:cNvSpPr txBox="1"/>
                    </a:nvSpPr>
                    <a:spPr>
                      <a:xfrm>
                        <a:off x="6669151" y="3557581"/>
                        <a:ext cx="1728192" cy="553998"/>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000" b="1" dirty="0" smtClean="0"/>
                            <a:t>The remaining 7 CCGs will need to </a:t>
                          </a:r>
                          <a:r>
                            <a:rPr lang="en-US" sz="1000" b="1" dirty="0" smtClean="0"/>
                            <a:t>authorise in </a:t>
                          </a:r>
                          <a:r>
                            <a:rPr lang="en-US" sz="1000" b="1" dirty="0" smtClean="0"/>
                            <a:t>house</a:t>
                          </a:r>
                          <a:endParaRPr lang="en-US" sz="1000" b="1" dirty="0"/>
                        </a:p>
                      </a:txBody>
                      <a:useSpRect/>
                    </a:txSp>
                  </a:sp>
                </lc:lockedCanvas>
              </a:graphicData>
            </a:graphic>
          </wp:inline>
        </w:drawing>
      </w:r>
    </w:p>
    <w:p w:rsidR="001230A7" w:rsidRDefault="001230A7" w:rsidP="001230A7">
      <w:pPr>
        <w:rPr>
          <w:b/>
        </w:rPr>
      </w:pPr>
      <w:r w:rsidRPr="003D0545">
        <w:rPr>
          <w:b/>
        </w:rPr>
        <w:tab/>
      </w:r>
      <w:r w:rsidRPr="003D0545">
        <w:rPr>
          <w:b/>
        </w:rPr>
        <w:tab/>
      </w:r>
      <w:r w:rsidRPr="003D0545">
        <w:rPr>
          <w:b/>
        </w:rPr>
        <w:tab/>
      </w:r>
      <w:r w:rsidRPr="003D0545">
        <w:rPr>
          <w:b/>
        </w:rPr>
        <w:tab/>
      </w:r>
      <w:r w:rsidRPr="003D0545">
        <w:rPr>
          <w:b/>
        </w:rPr>
        <w:tab/>
      </w:r>
      <w:r w:rsidRPr="003D0545">
        <w:rPr>
          <w:b/>
        </w:rPr>
        <w:tab/>
      </w:r>
    </w:p>
    <w:p w:rsidR="001230A7" w:rsidRPr="00001318" w:rsidRDefault="001230A7" w:rsidP="001230A7">
      <w:pPr>
        <w:rPr>
          <w:b/>
        </w:rPr>
      </w:pPr>
      <w:r w:rsidRPr="00001318">
        <w:rPr>
          <w:b/>
        </w:rPr>
        <w:t>SENDING CLAIMS</w:t>
      </w:r>
    </w:p>
    <w:p w:rsidR="001230A7" w:rsidRDefault="001230A7" w:rsidP="001230A7">
      <w:pPr>
        <w:rPr>
          <w:lang w:val="en-GB"/>
        </w:rPr>
      </w:pPr>
      <w:r>
        <w:rPr>
          <w:lang w:val="en-GB"/>
        </w:rPr>
        <w:t xml:space="preserve">Claims should be sent </w:t>
      </w:r>
      <w:r w:rsidRPr="00001318">
        <w:rPr>
          <w:b/>
          <w:lang w:val="en-GB"/>
        </w:rPr>
        <w:t>no later than the 5</w:t>
      </w:r>
      <w:r w:rsidRPr="00001318">
        <w:rPr>
          <w:b/>
          <w:vertAlign w:val="superscript"/>
          <w:lang w:val="en-GB"/>
        </w:rPr>
        <w:t>th</w:t>
      </w:r>
      <w:r w:rsidRPr="00001318">
        <w:rPr>
          <w:b/>
          <w:lang w:val="en-GB"/>
        </w:rPr>
        <w:t xml:space="preserve"> of month</w:t>
      </w:r>
      <w:r>
        <w:rPr>
          <w:lang w:val="en-GB"/>
        </w:rPr>
        <w:t xml:space="preserve"> following the period to which they relate, using the specified pro-forma (Appendix 1) and should contain details of the following:</w:t>
      </w:r>
    </w:p>
    <w:p w:rsidR="001230A7" w:rsidRDefault="001230A7" w:rsidP="001230A7">
      <w:pPr>
        <w:pStyle w:val="ListParagraph"/>
        <w:numPr>
          <w:ilvl w:val="0"/>
          <w:numId w:val="1"/>
        </w:numPr>
        <w:rPr>
          <w:lang w:val="en-GB"/>
        </w:rPr>
      </w:pPr>
      <w:r>
        <w:rPr>
          <w:lang w:val="en-GB"/>
        </w:rPr>
        <w:t>Their practice/business address – any providers that are part of a large business chain should ensure that they have their specific practice/shop address included;</w:t>
      </w:r>
    </w:p>
    <w:p w:rsidR="001230A7" w:rsidRDefault="001230A7" w:rsidP="001230A7">
      <w:pPr>
        <w:pStyle w:val="ListParagraph"/>
        <w:numPr>
          <w:ilvl w:val="0"/>
          <w:numId w:val="1"/>
        </w:numPr>
        <w:rPr>
          <w:lang w:val="en-GB"/>
        </w:rPr>
      </w:pPr>
      <w:r>
        <w:rPr>
          <w:lang w:val="en-GB"/>
        </w:rPr>
        <w:t xml:space="preserve">The address of the relevant CCG to which they are associated. These addresses are listed in Appendix 3; </w:t>
      </w:r>
    </w:p>
    <w:p w:rsidR="001230A7" w:rsidRDefault="001230A7" w:rsidP="001230A7">
      <w:pPr>
        <w:pStyle w:val="ListParagraph"/>
        <w:numPr>
          <w:ilvl w:val="0"/>
          <w:numId w:val="1"/>
        </w:numPr>
        <w:rPr>
          <w:lang w:val="en-GB"/>
        </w:rPr>
      </w:pPr>
      <w:r>
        <w:rPr>
          <w:lang w:val="en-GB"/>
        </w:rPr>
        <w:t>The period to which the claim relates (e.g. April 2013 or April – June 2013) – providers should submit monthly claims on one pro-forma, quarterly claims on another and so on.</w:t>
      </w:r>
    </w:p>
    <w:p w:rsidR="001230A7" w:rsidRDefault="001230A7" w:rsidP="001230A7">
      <w:pPr>
        <w:pStyle w:val="ListParagraph"/>
        <w:numPr>
          <w:ilvl w:val="0"/>
          <w:numId w:val="1"/>
        </w:numPr>
        <w:rPr>
          <w:lang w:val="en-GB"/>
        </w:rPr>
      </w:pPr>
      <w:r>
        <w:rPr>
          <w:lang w:val="en-GB"/>
        </w:rPr>
        <w:t>Under ‘details of claim’ the provider should list each service for which they are claiming and any associated comments, activity and unit costs for the period;</w:t>
      </w:r>
    </w:p>
    <w:p w:rsidR="001230A7" w:rsidRDefault="001230A7" w:rsidP="001230A7">
      <w:pPr>
        <w:pStyle w:val="ListParagraph"/>
        <w:numPr>
          <w:ilvl w:val="0"/>
          <w:numId w:val="1"/>
        </w:numPr>
        <w:rPr>
          <w:lang w:val="en-GB"/>
        </w:rPr>
      </w:pPr>
      <w:r>
        <w:rPr>
          <w:lang w:val="en-GB"/>
        </w:rPr>
        <w:t>Providers should attach relevant backing information to the pro-forma to cover each service for which they are claiming. This could be in the form of a report or via a claim form that has been used historically;</w:t>
      </w:r>
    </w:p>
    <w:p w:rsidR="001230A7" w:rsidRDefault="001230A7" w:rsidP="001230A7">
      <w:pPr>
        <w:pStyle w:val="ListParagraph"/>
        <w:numPr>
          <w:ilvl w:val="0"/>
          <w:numId w:val="1"/>
        </w:numPr>
        <w:rPr>
          <w:lang w:val="en-GB"/>
        </w:rPr>
      </w:pPr>
      <w:r>
        <w:rPr>
          <w:lang w:val="en-GB"/>
        </w:rPr>
        <w:t>Further details of the correct process are detailed at the bottom of the pro-forma (Appendix 1).</w:t>
      </w:r>
    </w:p>
    <w:p w:rsidR="001230A7" w:rsidRDefault="001230A7" w:rsidP="001230A7">
      <w:pPr>
        <w:rPr>
          <w:lang w:val="en-GB"/>
        </w:rPr>
      </w:pPr>
    </w:p>
    <w:p w:rsidR="001230A7" w:rsidRDefault="001230A7" w:rsidP="001230A7">
      <w:pPr>
        <w:rPr>
          <w:lang w:val="en-GB"/>
        </w:rPr>
      </w:pPr>
    </w:p>
    <w:p w:rsidR="00CA03D1" w:rsidRDefault="00CA03D1" w:rsidP="00CA03D1">
      <w:pPr>
        <w:spacing w:after="0"/>
        <w:rPr>
          <w:lang w:val="en-GB"/>
        </w:rPr>
      </w:pPr>
      <w:r>
        <w:rPr>
          <w:lang w:val="en-GB"/>
        </w:rPr>
        <w:lastRenderedPageBreak/>
        <w:t xml:space="preserve">Claims should be submitted </w:t>
      </w:r>
      <w:r w:rsidRPr="00A206B0">
        <w:rPr>
          <w:lang w:val="en-GB"/>
        </w:rPr>
        <w:t xml:space="preserve">via the following email address: </w:t>
      </w:r>
    </w:p>
    <w:p w:rsidR="00CA03D1" w:rsidRDefault="00CA03D1" w:rsidP="00CA03D1">
      <w:pPr>
        <w:spacing w:after="0"/>
        <w:rPr>
          <w:lang w:val="en-GB"/>
        </w:rPr>
      </w:pPr>
    </w:p>
    <w:p w:rsidR="00CA03D1" w:rsidRDefault="00E5338C" w:rsidP="00CA03D1">
      <w:pPr>
        <w:spacing w:after="0"/>
      </w:pPr>
      <w:hyperlink r:id="rId10" w:history="1">
        <w:r w:rsidR="00CA03D1" w:rsidRPr="00A206B0">
          <w:rPr>
            <w:rStyle w:val="Hyperlink"/>
            <w:b/>
            <w:lang w:val="en-GB"/>
          </w:rPr>
          <w:t>gmenhancedservice.payments@nhs.net</w:t>
        </w:r>
      </w:hyperlink>
    </w:p>
    <w:p w:rsidR="00CA03D1" w:rsidRDefault="00CA03D1" w:rsidP="00CA03D1">
      <w:pPr>
        <w:rPr>
          <w:lang w:val="en-GB"/>
        </w:rPr>
      </w:pPr>
    </w:p>
    <w:p w:rsidR="00621236" w:rsidRDefault="00621236" w:rsidP="00621236">
      <w:pPr>
        <w:rPr>
          <w:b/>
          <w:lang w:val="en-GB"/>
        </w:rPr>
      </w:pPr>
      <w:r>
        <w:rPr>
          <w:b/>
        </w:rPr>
        <w:t>If you would like the pro forma invoice template emailed to you, please telephone 0161 212 4373.</w:t>
      </w:r>
    </w:p>
    <w:p w:rsidR="00CA03D1" w:rsidRDefault="00CA03D1" w:rsidP="00CA03D1">
      <w:pPr>
        <w:rPr>
          <w:lang w:val="en-GB"/>
        </w:rPr>
      </w:pPr>
      <w:r>
        <w:rPr>
          <w:lang w:val="en-GB"/>
        </w:rPr>
        <w:t>Or alternatively paper claims should be sent to the following address:</w:t>
      </w:r>
    </w:p>
    <w:p w:rsidR="00930DCA" w:rsidRDefault="00930DCA" w:rsidP="00930DCA">
      <w:pPr>
        <w:pStyle w:val="PlainText"/>
        <w:rPr>
          <w:rFonts w:ascii="Cambria" w:hAnsi="Cambria"/>
          <w:b/>
          <w:sz w:val="22"/>
          <w:szCs w:val="22"/>
        </w:rPr>
      </w:pPr>
      <w:r>
        <w:rPr>
          <w:rFonts w:ascii="Cambria" w:hAnsi="Cambria"/>
          <w:b/>
          <w:sz w:val="22"/>
          <w:szCs w:val="22"/>
        </w:rPr>
        <w:t>Greater Manchester Commissioning Support Unit (GMCSU)</w:t>
      </w:r>
    </w:p>
    <w:p w:rsidR="00930DCA" w:rsidRDefault="00930DCA" w:rsidP="00930DCA">
      <w:pPr>
        <w:spacing w:after="0"/>
        <w:rPr>
          <w:b/>
          <w:lang w:val="en-GB"/>
        </w:rPr>
      </w:pPr>
      <w:r>
        <w:rPr>
          <w:b/>
          <w:lang w:val="en-GB"/>
        </w:rPr>
        <w:t>Local Enhanced Services – GP/Pharmacy/Ophthalm</w:t>
      </w:r>
      <w:r w:rsidR="000C7404">
        <w:rPr>
          <w:b/>
          <w:lang w:val="en-GB"/>
        </w:rPr>
        <w:t>ology</w:t>
      </w:r>
    </w:p>
    <w:p w:rsidR="00CA03D1" w:rsidRPr="00167C66" w:rsidRDefault="00CA03D1" w:rsidP="00CA03D1">
      <w:pPr>
        <w:spacing w:after="0"/>
        <w:rPr>
          <w:b/>
          <w:lang w:val="en-GB"/>
        </w:rPr>
      </w:pPr>
      <w:r w:rsidRPr="00167C66">
        <w:rPr>
          <w:b/>
          <w:lang w:val="en-GB"/>
        </w:rPr>
        <w:t>Total Provider Management</w:t>
      </w:r>
    </w:p>
    <w:p w:rsidR="00CA03D1" w:rsidRDefault="00CA03D1" w:rsidP="00CA03D1">
      <w:pPr>
        <w:spacing w:after="0"/>
        <w:rPr>
          <w:b/>
          <w:lang w:val="en-GB"/>
        </w:rPr>
      </w:pPr>
      <w:r w:rsidRPr="00167C66">
        <w:rPr>
          <w:b/>
          <w:lang w:val="en-GB"/>
        </w:rPr>
        <w:t>2</w:t>
      </w:r>
      <w:r w:rsidRPr="00167C66">
        <w:rPr>
          <w:b/>
          <w:vertAlign w:val="superscript"/>
          <w:lang w:val="en-GB"/>
        </w:rPr>
        <w:t>nd</w:t>
      </w:r>
      <w:r w:rsidRPr="00167C66">
        <w:rPr>
          <w:b/>
          <w:lang w:val="en-GB"/>
        </w:rPr>
        <w:t xml:space="preserve"> Floor</w:t>
      </w:r>
    </w:p>
    <w:p w:rsidR="00CA03D1" w:rsidRPr="00167C66" w:rsidRDefault="00CA03D1" w:rsidP="00CA03D1">
      <w:pPr>
        <w:spacing w:after="0"/>
        <w:rPr>
          <w:b/>
          <w:lang w:val="en-GB"/>
        </w:rPr>
      </w:pPr>
      <w:r w:rsidRPr="00167C66">
        <w:rPr>
          <w:b/>
          <w:lang w:val="en-GB"/>
        </w:rPr>
        <w:t>St James’ House</w:t>
      </w:r>
    </w:p>
    <w:p w:rsidR="00CA03D1" w:rsidRPr="00167C66" w:rsidRDefault="00CA03D1" w:rsidP="00CA03D1">
      <w:pPr>
        <w:spacing w:after="0"/>
        <w:rPr>
          <w:b/>
          <w:lang w:val="en-GB"/>
        </w:rPr>
      </w:pPr>
      <w:r w:rsidRPr="00167C66">
        <w:rPr>
          <w:b/>
          <w:lang w:val="en-GB"/>
        </w:rPr>
        <w:t>Salford</w:t>
      </w:r>
    </w:p>
    <w:p w:rsidR="00CA03D1" w:rsidRPr="00167C66" w:rsidRDefault="00CA03D1" w:rsidP="00CA03D1">
      <w:pPr>
        <w:spacing w:after="0"/>
        <w:rPr>
          <w:b/>
          <w:lang w:val="en-GB"/>
        </w:rPr>
      </w:pPr>
      <w:r w:rsidRPr="00167C66">
        <w:rPr>
          <w:b/>
          <w:lang w:val="en-GB"/>
        </w:rPr>
        <w:t>M6 5FW</w:t>
      </w:r>
    </w:p>
    <w:p w:rsidR="00CA03D1" w:rsidRDefault="00CA03D1" w:rsidP="00CA03D1">
      <w:pPr>
        <w:spacing w:after="0"/>
        <w:rPr>
          <w:lang w:val="en-GB"/>
        </w:rPr>
      </w:pPr>
    </w:p>
    <w:p w:rsidR="00CA03D1" w:rsidRDefault="00CA03D1" w:rsidP="00CA03D1">
      <w:pPr>
        <w:spacing w:after="0"/>
      </w:pPr>
    </w:p>
    <w:p w:rsidR="00CA03D1" w:rsidRDefault="00CA03D1" w:rsidP="00CA03D1">
      <w:pPr>
        <w:spacing w:after="0"/>
      </w:pPr>
      <w:r>
        <w:t>The CSU will aim to process claims within 30 days of receipt subject to the following conditions:</w:t>
      </w:r>
    </w:p>
    <w:p w:rsidR="00CA03D1" w:rsidRDefault="00CA03D1" w:rsidP="00CA03D1">
      <w:pPr>
        <w:spacing w:after="0"/>
      </w:pPr>
    </w:p>
    <w:p w:rsidR="00CA03D1" w:rsidRDefault="00CA03D1" w:rsidP="00CA03D1">
      <w:pPr>
        <w:pStyle w:val="ListParagraph"/>
        <w:numPr>
          <w:ilvl w:val="0"/>
          <w:numId w:val="2"/>
        </w:numPr>
        <w:spacing w:after="0"/>
      </w:pPr>
      <w:r>
        <w:t>Claims have been submitted via the appropriate method highlighted above;</w:t>
      </w:r>
    </w:p>
    <w:p w:rsidR="00CA03D1" w:rsidRDefault="00CA03D1" w:rsidP="00CA03D1">
      <w:pPr>
        <w:pStyle w:val="ListParagraph"/>
        <w:numPr>
          <w:ilvl w:val="0"/>
          <w:numId w:val="2"/>
        </w:numPr>
        <w:spacing w:after="0"/>
      </w:pPr>
      <w:r>
        <w:t>Activity and financial information on the pro-forma is accurate.</w:t>
      </w:r>
    </w:p>
    <w:p w:rsidR="00CA03D1" w:rsidRDefault="00CA03D1" w:rsidP="00CA03D1">
      <w:pPr>
        <w:rPr>
          <w:b/>
          <w:lang w:val="en-GB"/>
        </w:rPr>
      </w:pPr>
    </w:p>
    <w:p w:rsidR="00CA03D1" w:rsidRPr="00001318" w:rsidRDefault="00CA03D1" w:rsidP="00CA03D1">
      <w:pPr>
        <w:rPr>
          <w:b/>
          <w:lang w:val="en-GB"/>
        </w:rPr>
      </w:pPr>
      <w:r w:rsidRPr="00001318">
        <w:rPr>
          <w:b/>
          <w:lang w:val="en-GB"/>
        </w:rPr>
        <w:t>QUERIES</w:t>
      </w:r>
    </w:p>
    <w:p w:rsidR="00CA03D1" w:rsidRDefault="00CA03D1" w:rsidP="00CA03D1">
      <w:pPr>
        <w:rPr>
          <w:lang w:val="en-GB"/>
        </w:rPr>
      </w:pPr>
      <w:r>
        <w:rPr>
          <w:lang w:val="en-GB"/>
        </w:rPr>
        <w:t>It is noted that, due to the complexity and historic variation of systems for processing Local Enhanced Service claims across Greater Manchester, there may be some issues that arise. The following individuals should be contacted to discuss any queries:</w:t>
      </w:r>
    </w:p>
    <w:p w:rsidR="00CA03D1" w:rsidRPr="00A402AD" w:rsidRDefault="00CA03D1" w:rsidP="00CA03D1">
      <w:pPr>
        <w:rPr>
          <w:b/>
          <w:lang w:val="en-GB"/>
        </w:rPr>
      </w:pPr>
      <w:r w:rsidRPr="00A402AD">
        <w:rPr>
          <w:b/>
          <w:lang w:val="en-GB"/>
        </w:rPr>
        <w:t>QUERIES RELATING TO CLAIM</w:t>
      </w:r>
      <w:r>
        <w:rPr>
          <w:b/>
          <w:lang w:val="en-GB"/>
        </w:rPr>
        <w:t>ING PROCESS &amp;</w:t>
      </w:r>
      <w:r w:rsidRPr="00A402AD">
        <w:rPr>
          <w:b/>
          <w:lang w:val="en-GB"/>
        </w:rPr>
        <w:t xml:space="preserve"> VALIDATION:</w:t>
      </w:r>
    </w:p>
    <w:p w:rsidR="00CA03D1" w:rsidRDefault="00CA03D1" w:rsidP="00CA03D1">
      <w:pPr>
        <w:rPr>
          <w:lang w:val="en-GB"/>
        </w:rPr>
      </w:pPr>
      <w:r>
        <w:rPr>
          <w:lang w:val="en-GB"/>
        </w:rPr>
        <w:t>Should providers have any queries relating to the processing of Local Enhanced Service claims they should contact:</w:t>
      </w:r>
    </w:p>
    <w:p w:rsidR="00CA03D1" w:rsidRPr="007A6FF7" w:rsidRDefault="00CA03D1" w:rsidP="00CA03D1">
      <w:pPr>
        <w:rPr>
          <w:lang w:val="en-GB"/>
        </w:rPr>
      </w:pPr>
      <w:r w:rsidRPr="00A402AD">
        <w:rPr>
          <w:b/>
          <w:lang w:val="en-GB"/>
        </w:rPr>
        <w:t>0161 212 43</w:t>
      </w:r>
      <w:r>
        <w:rPr>
          <w:b/>
          <w:lang w:val="en-GB"/>
        </w:rPr>
        <w:t xml:space="preserve">73. </w:t>
      </w:r>
    </w:p>
    <w:p w:rsidR="00CA03D1" w:rsidRPr="00001318" w:rsidRDefault="00CA03D1" w:rsidP="00CA03D1">
      <w:pPr>
        <w:rPr>
          <w:lang w:val="en-GB"/>
        </w:rPr>
      </w:pPr>
      <w:r w:rsidRPr="00A402AD">
        <w:rPr>
          <w:lang w:val="en-GB"/>
        </w:rPr>
        <w:t>Alternatively, they can forward their queries to the email address above, ensuring they clearly mark the subject line with ‘</w:t>
      </w:r>
      <w:r>
        <w:rPr>
          <w:lang w:val="en-GB"/>
        </w:rPr>
        <w:t xml:space="preserve">CCG </w:t>
      </w:r>
      <w:r w:rsidRPr="00A402AD">
        <w:rPr>
          <w:lang w:val="en-GB"/>
        </w:rPr>
        <w:t>Enhanced Service Query’</w:t>
      </w:r>
      <w:r>
        <w:rPr>
          <w:lang w:val="en-GB"/>
        </w:rPr>
        <w:t>.</w:t>
      </w:r>
      <w:r w:rsidRPr="00A402AD">
        <w:rPr>
          <w:lang w:val="en-GB"/>
        </w:rPr>
        <w:t xml:space="preserve"> </w:t>
      </w:r>
    </w:p>
    <w:p w:rsidR="00CA03D1" w:rsidRPr="00A402AD" w:rsidRDefault="00CA03D1" w:rsidP="00CA03D1">
      <w:pPr>
        <w:rPr>
          <w:b/>
          <w:lang w:val="en-GB"/>
        </w:rPr>
      </w:pPr>
      <w:r w:rsidRPr="00A402AD">
        <w:rPr>
          <w:b/>
          <w:lang w:val="en-GB"/>
        </w:rPr>
        <w:t>QUERIES RELATING TO PAYMENT/REMITTANCE:</w:t>
      </w:r>
    </w:p>
    <w:p w:rsidR="00CA03D1" w:rsidRDefault="00CA03D1" w:rsidP="00CA03D1">
      <w:pPr>
        <w:rPr>
          <w:lang w:val="en-GB"/>
        </w:rPr>
      </w:pPr>
      <w:r>
        <w:rPr>
          <w:lang w:val="en-GB"/>
        </w:rPr>
        <w:t xml:space="preserve">Should providers have any queries relating to payment; they should contact </w:t>
      </w:r>
      <w:r w:rsidRPr="00995C60">
        <w:rPr>
          <w:b/>
          <w:lang w:val="en-GB"/>
        </w:rPr>
        <w:t>SBS</w:t>
      </w:r>
      <w:r>
        <w:rPr>
          <w:lang w:val="en-GB"/>
        </w:rPr>
        <w:t xml:space="preserve"> on </w:t>
      </w:r>
      <w:r w:rsidRPr="00995C60">
        <w:rPr>
          <w:b/>
          <w:lang w:val="en-GB"/>
        </w:rPr>
        <w:t>0303 123 11</w:t>
      </w:r>
      <w:r>
        <w:rPr>
          <w:b/>
          <w:lang w:val="en-GB"/>
        </w:rPr>
        <w:t>77.</w:t>
      </w:r>
    </w:p>
    <w:p w:rsidR="00CA03D1" w:rsidRDefault="00CA03D1" w:rsidP="00CA03D1">
      <w:pPr>
        <w:rPr>
          <w:b/>
          <w:lang w:val="en-GB"/>
        </w:rPr>
      </w:pPr>
      <w:bookmarkStart w:id="0" w:name="_GoBack"/>
      <w:bookmarkEnd w:id="0"/>
    </w:p>
    <w:sectPr w:rsidR="00CA03D1" w:rsidSect="007771C7">
      <w:headerReference w:type="default" r:id="rId11"/>
      <w:footerReference w:type="even" r:id="rId12"/>
      <w:footerReference w:type="default" r:id="rId13"/>
      <w:pgSz w:w="11900" w:h="16840"/>
      <w:pgMar w:top="1440" w:right="1134" w:bottom="1701"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0A7" w:rsidRDefault="001230A7" w:rsidP="0091305E">
      <w:pPr>
        <w:spacing w:after="0"/>
      </w:pPr>
      <w:r>
        <w:separator/>
      </w:r>
    </w:p>
  </w:endnote>
  <w:endnote w:type="continuationSeparator" w:id="0">
    <w:p w:rsidR="001230A7" w:rsidRDefault="001230A7" w:rsidP="0091305E">
      <w:pPr>
        <w:spacing w:after="0"/>
      </w:pPr>
      <w:r>
        <w:continuationSeparator/>
      </w:r>
    </w:p>
  </w:endnote>
  <w:endnote w:type="continuationNotice" w:id="1">
    <w:p w:rsidR="00E5338C" w:rsidRDefault="00E533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1C7" w:rsidRDefault="002B6291" w:rsidP="008E32A7">
    <w:pPr>
      <w:pStyle w:val="Footer"/>
      <w:framePr w:wrap="around" w:vAnchor="text" w:hAnchor="margin" w:xAlign="right" w:y="1"/>
      <w:rPr>
        <w:rStyle w:val="PageNumber"/>
      </w:rPr>
    </w:pPr>
    <w:r>
      <w:rPr>
        <w:rStyle w:val="PageNumber"/>
        <w:rFonts w:hint="eastAsia"/>
      </w:rPr>
      <w:fldChar w:fldCharType="begin"/>
    </w:r>
    <w:r w:rsidR="007771C7">
      <w:rPr>
        <w:rStyle w:val="PageNumber"/>
        <w:rFonts w:hint="eastAsia"/>
      </w:rPr>
      <w:instrText xml:space="preserve">PAGE  </w:instrText>
    </w:r>
    <w:r>
      <w:rPr>
        <w:rStyle w:val="PageNumber"/>
        <w:rFonts w:hint="eastAsia"/>
      </w:rPr>
      <w:fldChar w:fldCharType="end"/>
    </w:r>
  </w:p>
  <w:p w:rsidR="007771C7" w:rsidRDefault="007771C7" w:rsidP="007771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1C7" w:rsidRPr="007771C7" w:rsidRDefault="002B6291" w:rsidP="008E32A7">
    <w:pPr>
      <w:pStyle w:val="Footer"/>
      <w:framePr w:wrap="around" w:vAnchor="text" w:hAnchor="margin" w:xAlign="right" w:y="1"/>
      <w:rPr>
        <w:rStyle w:val="PageNumber"/>
        <w:rFonts w:ascii="Arial" w:hAnsi="Arial"/>
        <w:b/>
        <w:color w:val="808080" w:themeColor="background1" w:themeShade="80"/>
      </w:rPr>
    </w:pPr>
    <w:r w:rsidRPr="007771C7">
      <w:rPr>
        <w:rStyle w:val="PageNumber"/>
        <w:rFonts w:ascii="Arial" w:hAnsi="Arial"/>
        <w:b/>
        <w:color w:val="808080" w:themeColor="background1" w:themeShade="80"/>
      </w:rPr>
      <w:fldChar w:fldCharType="begin"/>
    </w:r>
    <w:r w:rsidR="007771C7" w:rsidRPr="007771C7">
      <w:rPr>
        <w:rStyle w:val="PageNumber"/>
        <w:rFonts w:ascii="Arial" w:hAnsi="Arial"/>
        <w:b/>
        <w:color w:val="808080" w:themeColor="background1" w:themeShade="80"/>
      </w:rPr>
      <w:instrText xml:space="preserve">PAGE  </w:instrText>
    </w:r>
    <w:r w:rsidRPr="007771C7">
      <w:rPr>
        <w:rStyle w:val="PageNumber"/>
        <w:rFonts w:ascii="Arial" w:hAnsi="Arial"/>
        <w:b/>
        <w:color w:val="808080" w:themeColor="background1" w:themeShade="80"/>
      </w:rPr>
      <w:fldChar w:fldCharType="separate"/>
    </w:r>
    <w:r w:rsidR="00E5338C">
      <w:rPr>
        <w:rStyle w:val="PageNumber"/>
        <w:rFonts w:ascii="Arial" w:hAnsi="Arial"/>
        <w:b/>
        <w:noProof/>
        <w:color w:val="808080" w:themeColor="background1" w:themeShade="80"/>
      </w:rPr>
      <w:t>4</w:t>
    </w:r>
    <w:r w:rsidRPr="007771C7">
      <w:rPr>
        <w:rStyle w:val="PageNumber"/>
        <w:rFonts w:ascii="Arial" w:hAnsi="Arial"/>
        <w:b/>
        <w:color w:val="808080" w:themeColor="background1" w:themeShade="80"/>
      </w:rPr>
      <w:fldChar w:fldCharType="end"/>
    </w:r>
  </w:p>
  <w:p w:rsidR="007771C7" w:rsidRDefault="00115E83" w:rsidP="007771C7">
    <w:pPr>
      <w:pStyle w:val="Footer"/>
      <w:ind w:right="360"/>
    </w:pPr>
    <w:r>
      <w:rPr>
        <w:rFonts w:hint="eastAsia"/>
        <w:noProof/>
        <w:lang w:val="en-GB" w:eastAsia="en-GB"/>
      </w:rPr>
      <w:drawing>
        <wp:anchor distT="0" distB="0" distL="114300" distR="114300" simplePos="0" relativeHeight="251664384" behindDoc="0" locked="0" layoutInCell="1" allowOverlap="1" wp14:anchorId="2E9A0875" wp14:editId="66434ACA">
          <wp:simplePos x="0" y="0"/>
          <wp:positionH relativeFrom="page">
            <wp:posOffset>720090</wp:posOffset>
          </wp:positionH>
          <wp:positionV relativeFrom="page">
            <wp:posOffset>10083800</wp:posOffset>
          </wp:positionV>
          <wp:extent cx="2632710" cy="204470"/>
          <wp:effectExtent l="0" t="0" r="8890" b="0"/>
          <wp:wrapThrough wrapText="bothSides">
            <wp:wrapPolygon edited="0">
              <wp:start x="0" y="0"/>
              <wp:lineTo x="0" y="18783"/>
              <wp:lineTo x="12920" y="18783"/>
              <wp:lineTo x="14379" y="18783"/>
              <wp:lineTo x="21465" y="18783"/>
              <wp:lineTo x="21465" y="2683"/>
              <wp:lineTo x="1875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CSU - Enabling Excellence.eps"/>
                  <pic:cNvPicPr/>
                </pic:nvPicPr>
                <pic:blipFill>
                  <a:blip r:embed="rId1">
                    <a:extLst>
                      <a:ext uri="{28A0092B-C50C-407E-A947-70E740481C1C}">
                        <a14:useLocalDpi xmlns:a14="http://schemas.microsoft.com/office/drawing/2010/main" val="0"/>
                      </a:ext>
                    </a:extLst>
                  </a:blip>
                  <a:stretch>
                    <a:fillRect/>
                  </a:stretch>
                </pic:blipFill>
                <pic:spPr>
                  <a:xfrm>
                    <a:off x="0" y="0"/>
                    <a:ext cx="2632710" cy="204470"/>
                  </a:xfrm>
                  <a:prstGeom prst="rect">
                    <a:avLst/>
                  </a:prstGeom>
                </pic:spPr>
              </pic:pic>
            </a:graphicData>
          </a:graphic>
        </wp:anchor>
      </w:drawing>
    </w:r>
    <w:r w:rsidR="00E5338C">
      <w:rPr>
        <w:noProof/>
        <w:lang w:eastAsia="en-US"/>
      </w:rPr>
      <w:pict>
        <v:line id="Straight Connector 2" o:spid="_x0000_s4098" style="position:absolute;z-index:251661312;visibility:visible;mso-position-horizontal-relative:page;mso-position-vertical-relative:page" from="56.7pt,816.9pt" to="538.3pt,81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" strokecolor="#5a5a5a [2109]" strokeweight="1pt">
          <w10:wrap anchorx="page" anchory="page"/>
        </v:line>
      </w:pict>
    </w:r>
    <w:r w:rsidR="00E5338C">
      <w:rPr>
        <w:noProof/>
        <w:lang w:eastAsia="en-US"/>
      </w:rPr>
      <w:pict>
        <v:line id="Straight Connector 1" o:spid="_x0000_s4097" style="position:absolute;z-index:251659264;visibility:visible;mso-position-horizontal-relative:page;mso-position-vertical-relative:page" from="56.7pt,785pt" to="538.3pt,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" strokecolor="#5a5a5a [2109]" strokeweight="1pt">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0A7" w:rsidRDefault="001230A7" w:rsidP="0091305E">
      <w:pPr>
        <w:spacing w:after="0"/>
      </w:pPr>
      <w:r>
        <w:separator/>
      </w:r>
    </w:p>
  </w:footnote>
  <w:footnote w:type="continuationSeparator" w:id="0">
    <w:p w:rsidR="001230A7" w:rsidRDefault="001230A7" w:rsidP="0091305E">
      <w:pPr>
        <w:spacing w:after="0"/>
      </w:pPr>
      <w:r>
        <w:continuationSeparator/>
      </w:r>
    </w:p>
  </w:footnote>
  <w:footnote w:type="continuationNotice" w:id="1">
    <w:p w:rsidR="00E5338C" w:rsidRDefault="00E5338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8C" w:rsidRDefault="00E533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D5080"/>
    <w:multiLevelType w:val="hybridMultilevel"/>
    <w:tmpl w:val="EAD4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0C1EB4"/>
    <w:multiLevelType w:val="hybridMultilevel"/>
    <w:tmpl w:val="2982A94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4099"/>
    <o:shapelayout v:ext="edit">
      <o:idmap v:ext="edit" data="4"/>
    </o:shapelayout>
  </w:hdrShapeDefaults>
  <w:footnotePr>
    <w:footnote w:id="-1"/>
    <w:footnote w:id="0"/>
    <w:footnote w:id="1"/>
  </w:footnotePr>
  <w:endnotePr>
    <w:endnote w:id="-1"/>
    <w:endnote w:id="0"/>
    <w:endnote w:id="1"/>
  </w:endnotePr>
  <w:compat>
    <w:useFELayout/>
    <w:doNotAutofitConstrainedTables/>
    <w:splitPgBreakAndParaMark/>
    <w:compatSetting w:name="compatibilityMode" w:uri="http://schemas.microsoft.com/office/word" w:val="12"/>
  </w:compat>
  <w:rsids>
    <w:rsidRoot w:val="0091305E"/>
    <w:rsid w:val="000272CF"/>
    <w:rsid w:val="00050E52"/>
    <w:rsid w:val="000A7D4E"/>
    <w:rsid w:val="000C7404"/>
    <w:rsid w:val="00115E83"/>
    <w:rsid w:val="001230A7"/>
    <w:rsid w:val="001473B8"/>
    <w:rsid w:val="00157CAA"/>
    <w:rsid w:val="00186B0F"/>
    <w:rsid w:val="00192671"/>
    <w:rsid w:val="00194651"/>
    <w:rsid w:val="001D4609"/>
    <w:rsid w:val="00215B58"/>
    <w:rsid w:val="002B35FB"/>
    <w:rsid w:val="002B6291"/>
    <w:rsid w:val="002C1F40"/>
    <w:rsid w:val="002D36EE"/>
    <w:rsid w:val="002E0187"/>
    <w:rsid w:val="002E2AA7"/>
    <w:rsid w:val="004757D8"/>
    <w:rsid w:val="004F18B4"/>
    <w:rsid w:val="00621236"/>
    <w:rsid w:val="00631700"/>
    <w:rsid w:val="00775FC3"/>
    <w:rsid w:val="007771C7"/>
    <w:rsid w:val="0083359D"/>
    <w:rsid w:val="00843836"/>
    <w:rsid w:val="008A72DD"/>
    <w:rsid w:val="008D3C7E"/>
    <w:rsid w:val="0091305E"/>
    <w:rsid w:val="00930DCA"/>
    <w:rsid w:val="009F3AC5"/>
    <w:rsid w:val="00B6782E"/>
    <w:rsid w:val="00C32D18"/>
    <w:rsid w:val="00CA03D1"/>
    <w:rsid w:val="00CF78EA"/>
    <w:rsid w:val="00D33973"/>
    <w:rsid w:val="00DB288F"/>
    <w:rsid w:val="00E32200"/>
    <w:rsid w:val="00E524FE"/>
    <w:rsid w:val="00E5338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6722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05E"/>
    <w:pPr>
      <w:tabs>
        <w:tab w:val="center" w:pos="4320"/>
        <w:tab w:val="right" w:pos="8640"/>
      </w:tabs>
      <w:spacing w:after="0"/>
    </w:pPr>
  </w:style>
  <w:style w:type="character" w:customStyle="1" w:styleId="HeaderChar">
    <w:name w:val="Header Char"/>
    <w:basedOn w:val="DefaultParagraphFont"/>
    <w:link w:val="Header"/>
    <w:uiPriority w:val="99"/>
    <w:rsid w:val="0091305E"/>
  </w:style>
  <w:style w:type="paragraph" w:styleId="Footer">
    <w:name w:val="footer"/>
    <w:basedOn w:val="Normal"/>
    <w:link w:val="FooterChar"/>
    <w:uiPriority w:val="99"/>
    <w:unhideWhenUsed/>
    <w:rsid w:val="0091305E"/>
    <w:pPr>
      <w:tabs>
        <w:tab w:val="center" w:pos="4320"/>
        <w:tab w:val="right" w:pos="8640"/>
      </w:tabs>
      <w:spacing w:after="0"/>
    </w:pPr>
  </w:style>
  <w:style w:type="character" w:customStyle="1" w:styleId="FooterChar">
    <w:name w:val="Footer Char"/>
    <w:basedOn w:val="DefaultParagraphFont"/>
    <w:link w:val="Footer"/>
    <w:uiPriority w:val="99"/>
    <w:rsid w:val="0091305E"/>
  </w:style>
  <w:style w:type="character" w:styleId="PageNumber">
    <w:name w:val="page number"/>
    <w:basedOn w:val="DefaultParagraphFont"/>
    <w:uiPriority w:val="99"/>
    <w:semiHidden/>
    <w:unhideWhenUsed/>
    <w:rsid w:val="007771C7"/>
  </w:style>
  <w:style w:type="paragraph" w:styleId="ListParagraph">
    <w:name w:val="List Paragraph"/>
    <w:basedOn w:val="Normal"/>
    <w:uiPriority w:val="34"/>
    <w:qFormat/>
    <w:rsid w:val="001230A7"/>
    <w:pPr>
      <w:spacing w:line="276" w:lineRule="auto"/>
      <w:ind w:left="720"/>
      <w:contextualSpacing/>
    </w:pPr>
    <w:rPr>
      <w:rFonts w:ascii="Calibri" w:eastAsia="Calibri" w:hAnsi="Calibri" w:cs="Times New Roman"/>
      <w:sz w:val="22"/>
      <w:szCs w:val="22"/>
      <w:lang w:eastAsia="en-US"/>
    </w:rPr>
  </w:style>
  <w:style w:type="character" w:styleId="Hyperlink">
    <w:name w:val="Hyperlink"/>
    <w:basedOn w:val="DefaultParagraphFont"/>
    <w:uiPriority w:val="99"/>
    <w:unhideWhenUsed/>
    <w:rsid w:val="001230A7"/>
    <w:rPr>
      <w:color w:val="0000FF"/>
      <w:u w:val="single"/>
    </w:rPr>
  </w:style>
  <w:style w:type="paragraph" w:styleId="BalloonText">
    <w:name w:val="Balloon Text"/>
    <w:basedOn w:val="Normal"/>
    <w:link w:val="BalloonTextChar"/>
    <w:uiPriority w:val="99"/>
    <w:semiHidden/>
    <w:unhideWhenUsed/>
    <w:rsid w:val="001D46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609"/>
    <w:rPr>
      <w:rFonts w:ascii="Tahoma" w:hAnsi="Tahoma" w:cs="Tahoma"/>
      <w:sz w:val="16"/>
      <w:szCs w:val="16"/>
    </w:rPr>
  </w:style>
  <w:style w:type="paragraph" w:styleId="PlainText">
    <w:name w:val="Plain Text"/>
    <w:basedOn w:val="Normal"/>
    <w:link w:val="PlainTextChar"/>
    <w:uiPriority w:val="99"/>
    <w:semiHidden/>
    <w:unhideWhenUsed/>
    <w:rsid w:val="00930DCA"/>
    <w:pPr>
      <w:spacing w:after="0"/>
    </w:pPr>
    <w:rPr>
      <w:rFonts w:ascii="Consolas" w:eastAsia="Cambria" w:hAnsi="Consolas" w:cs="Times New Roman"/>
      <w:sz w:val="21"/>
      <w:szCs w:val="21"/>
      <w:lang w:val="en-GB" w:eastAsia="en-GB"/>
    </w:rPr>
  </w:style>
  <w:style w:type="character" w:customStyle="1" w:styleId="PlainTextChar">
    <w:name w:val="Plain Text Char"/>
    <w:basedOn w:val="DefaultParagraphFont"/>
    <w:link w:val="PlainText"/>
    <w:uiPriority w:val="99"/>
    <w:semiHidden/>
    <w:rsid w:val="00930DCA"/>
    <w:rPr>
      <w:rFonts w:ascii="Consolas" w:eastAsia="Cambria" w:hAnsi="Consolas" w:cs="Times New Roman"/>
      <w:sz w:val="21"/>
      <w:szCs w:val="21"/>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05E"/>
    <w:pPr>
      <w:tabs>
        <w:tab w:val="center" w:pos="4320"/>
        <w:tab w:val="right" w:pos="8640"/>
      </w:tabs>
      <w:spacing w:after="0"/>
    </w:pPr>
  </w:style>
  <w:style w:type="character" w:customStyle="1" w:styleId="HeaderChar">
    <w:name w:val="Header Char"/>
    <w:basedOn w:val="DefaultParagraphFont"/>
    <w:link w:val="Header"/>
    <w:uiPriority w:val="99"/>
    <w:rsid w:val="0091305E"/>
  </w:style>
  <w:style w:type="paragraph" w:styleId="Footer">
    <w:name w:val="footer"/>
    <w:basedOn w:val="Normal"/>
    <w:link w:val="FooterChar"/>
    <w:uiPriority w:val="99"/>
    <w:unhideWhenUsed/>
    <w:rsid w:val="0091305E"/>
    <w:pPr>
      <w:tabs>
        <w:tab w:val="center" w:pos="4320"/>
        <w:tab w:val="right" w:pos="8640"/>
      </w:tabs>
      <w:spacing w:after="0"/>
    </w:pPr>
  </w:style>
  <w:style w:type="character" w:customStyle="1" w:styleId="FooterChar">
    <w:name w:val="Footer Char"/>
    <w:basedOn w:val="DefaultParagraphFont"/>
    <w:link w:val="Footer"/>
    <w:uiPriority w:val="99"/>
    <w:rsid w:val="0091305E"/>
  </w:style>
  <w:style w:type="character" w:styleId="PageNumber">
    <w:name w:val="page number"/>
    <w:basedOn w:val="DefaultParagraphFont"/>
    <w:uiPriority w:val="99"/>
    <w:semiHidden/>
    <w:unhideWhenUsed/>
    <w:rsid w:val="00777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3328">
      <w:bodyDiv w:val="1"/>
      <w:marLeft w:val="0"/>
      <w:marRight w:val="0"/>
      <w:marTop w:val="0"/>
      <w:marBottom w:val="0"/>
      <w:divBdr>
        <w:top w:val="none" w:sz="0" w:space="0" w:color="auto"/>
        <w:left w:val="none" w:sz="0" w:space="0" w:color="auto"/>
        <w:bottom w:val="none" w:sz="0" w:space="0" w:color="auto"/>
        <w:right w:val="none" w:sz="0" w:space="0" w:color="auto"/>
      </w:divBdr>
    </w:div>
    <w:div w:id="196358282">
      <w:bodyDiv w:val="1"/>
      <w:marLeft w:val="0"/>
      <w:marRight w:val="0"/>
      <w:marTop w:val="0"/>
      <w:marBottom w:val="0"/>
      <w:divBdr>
        <w:top w:val="none" w:sz="0" w:space="0" w:color="auto"/>
        <w:left w:val="none" w:sz="0" w:space="0" w:color="auto"/>
        <w:bottom w:val="none" w:sz="0" w:space="0" w:color="auto"/>
        <w:right w:val="none" w:sz="0" w:space="0" w:color="auto"/>
      </w:divBdr>
    </w:div>
    <w:div w:id="320503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menhancedservice.payments@nhs.net"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85436-B26C-4AEA-8730-A931B85B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Niche Communications</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cogden</dc:creator>
  <cp:keywords/>
  <dc:description/>
  <cp:lastModifiedBy>Deborah Wood</cp:lastModifiedBy>
  <cp:revision>11</cp:revision>
  <cp:lastPrinted>2014-01-21T14:44:00Z</cp:lastPrinted>
  <dcterms:created xsi:type="dcterms:W3CDTF">2013-07-03T15:56:00Z</dcterms:created>
  <dcterms:modified xsi:type="dcterms:W3CDTF">2014-01-21T14:44:00Z</dcterms:modified>
</cp:coreProperties>
</file>